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default" w:ascii="Times New Roman" w:hAnsi="Times New Roman" w:eastAsia="黑体" w:cs="Times New Roman"/>
          <w:sz w:val="32"/>
          <w:szCs w:val="32"/>
        </w:rPr>
      </w:pPr>
    </w:p>
    <w:p>
      <w:pPr>
        <w:spacing w:line="560" w:lineRule="exact"/>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四川省商贸学校</w:t>
      </w:r>
    </w:p>
    <w:p>
      <w:pPr>
        <w:spacing w:line="56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2021年</w:t>
      </w:r>
      <w:r>
        <w:rPr>
          <w:rFonts w:hint="default" w:ascii="Times New Roman" w:hAnsi="Times New Roman" w:eastAsia="方正小标宋简体" w:cs="Times New Roman"/>
          <w:sz w:val="44"/>
          <w:szCs w:val="44"/>
        </w:rPr>
        <w:t>年度质量报告</w:t>
      </w:r>
    </w:p>
    <w:p>
      <w:pPr>
        <w:spacing w:line="360" w:lineRule="auto"/>
        <w:ind w:firstLine="6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1.学校情况</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1.1学校概况。</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坐落在四川省德阳市东湖山麓与旌湖河畔之间的四川省商贸学校，是四川省供销合作社直属的中职院校，始建于1950年。在省、市两级的共建支持下，已创建成为全国首批重点职业学校、四川省中示范中等职业学校、省级文明单位、四川省内务管理示范学校、首批省级“现代学徒制”试点单位等。</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学校位于德阳市千山街三段399号，占地292亩，校舍建筑面积8.7万平方米，图书馆藏书15.24万册。学校师资力量雄厚，全校在岗教职员工192人，其中硕士22人、高级讲师48名、讲师60名，双师型教师71名。学校现有全日制在校大中专、本科学生逾4000人，常年短期培训各类专业人员超过10000人次。</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学校自创建以来，累计向全国各机关、企事业单位、行业组织培养毕业生逾7万人。与中国民用航空飞行学院合作办学，向国内外民航交通运输系统企事业单位培养和输送了近7000名航空机务维修、空中乘务、民航空中安全保卫等专业专门人才，社会赞誉极高，进一步提升了学校知名度和毕业生就业层次。空中乘务、民航空中安全保卫、航空服务等专业已建设成为国内同类院校民航交通运输类专业范本。</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学校办学定位准确、教育手段实用、管理严谨规范，在服务社会、人才培养、文化传承等方面产生了较好的社会效益，特别是近年来围绕深化供销合作社综合改革和社会经济发展发挥了积极的作用。近年来，学校作为全国供销社系统职业教育协会副会长单位、供销合作社电商职业教育基地、四川省农村电子商务协会会长单位、四川大学与德阳市政府构建的协同创新体系合作办学单位、四川省电子商务人才培训基地、旌阳区跨境电商人才培养基地，努力打造农村电子商务社会服务平台、农业农村会计服务平台、德阳市汽车后市场服务平台、社区文化服务平台等社会公共服务平台，深度推进产教融合，强力提升社会服务能力，为全省供销社系统和德阳市经济社会发展发挥了积极的作用，受到川内外电子商务领域和财经商贸类教育界业内人士的高度赞誉。</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70年发展至今，学校进入了转型发展时期，确定“发展依靠教职工，发展为了教职工，发展成果由教职工共享”的发展理念，“一体两翼披彩绘，三点共融谋发展”的发展思路，“聚精会神办中职，全面对接中飞院，暂时挥别建高职”的发展定位。施行“三坚持”（坚持立德树人为根本，坚持服务发展为宗旨，坚持促进就业为导向）、“两秉承”（秉承“高质量发展”主旋律，秉承“稳中求进”主基调）、“三优化”（优化作风建设，优化队伍建设，优化教育管理）、“两深化”（深化产教融合，深化校企合作），扎实推进学校高质量发展。</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1.2 学生情况。</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建校以来，学校为财经商贸类产业的发展做出了积极贡献。在新时期，学校又在为深化供销合作社综合改革和打造中国西部农村电商产学研基地而贡献力量。</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学校专业设置为1</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个，其中第一产业类专业数</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个、第二产业类专业</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个，第三产业类专业</w:t>
      </w:r>
      <w:r>
        <w:rPr>
          <w:rFonts w:hint="default" w:ascii="Times New Roman" w:hAnsi="Times New Roman" w:eastAsia="仿宋_GB2312" w:cs="Times New Roman"/>
          <w:sz w:val="32"/>
          <w:szCs w:val="32"/>
          <w:lang w:val="en-US" w:eastAsia="zh-CN"/>
        </w:rPr>
        <w:t>11</w:t>
      </w:r>
      <w:r>
        <w:rPr>
          <w:rFonts w:hint="default" w:ascii="Times New Roman" w:hAnsi="Times New Roman" w:eastAsia="仿宋_GB2312" w:cs="Times New Roman"/>
          <w:sz w:val="32"/>
          <w:szCs w:val="32"/>
        </w:rPr>
        <w:t>个，有6个专业是围绕地方支柱产业而开设，较20</w:t>
      </w:r>
      <w:r>
        <w:rPr>
          <w:rFonts w:hint="default" w:ascii="Times New Roman" w:hAnsi="Times New Roman" w:eastAsia="仿宋_GB2312" w:cs="Times New Roman"/>
          <w:sz w:val="32"/>
          <w:szCs w:val="32"/>
          <w:lang w:val="en-US" w:eastAsia="zh-CN"/>
        </w:rPr>
        <w:t>20</w:t>
      </w:r>
      <w:r>
        <w:rPr>
          <w:rFonts w:hint="default" w:ascii="Times New Roman" w:hAnsi="Times New Roman" w:eastAsia="仿宋_GB2312" w:cs="Times New Roman"/>
          <w:sz w:val="32"/>
          <w:szCs w:val="32"/>
        </w:rPr>
        <w:t>年同期，学校新增专业</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个，停办专业0个。</w:t>
      </w:r>
    </w:p>
    <w:p>
      <w:pPr>
        <w:spacing w:line="360" w:lineRule="auto"/>
        <w:ind w:firstLine="600"/>
        <w:rPr>
          <w:rFonts w:hint="default" w:ascii="Times New Roman" w:hAnsi="Times New Roman" w:eastAsia="黑体" w:cs="Times New Roman"/>
          <w:b/>
          <w:bCs/>
          <w:color w:val="000000"/>
        </w:rPr>
      </w:pPr>
      <w:r>
        <w:rPr>
          <w:rFonts w:hint="default" w:ascii="Times New Roman" w:hAnsi="Times New Roman" w:eastAsia="仿宋_GB2312" w:cs="Times New Roman"/>
          <w:sz w:val="32"/>
          <w:szCs w:val="32"/>
        </w:rPr>
        <w:t>学校现有在校学生2150人，较2020年同期，在校生规模增长77人；2021年毕业生人数785人，较2020年同期，毕业生人数增长142人。</w:t>
      </w:r>
    </w:p>
    <w:p>
      <w:pPr>
        <w:pStyle w:val="5"/>
        <w:shd w:val="clear" w:color="auto" w:fill="FFFFFF"/>
        <w:spacing w:line="240" w:lineRule="atLeast"/>
        <w:jc w:val="center"/>
        <w:rPr>
          <w:rFonts w:hint="default" w:ascii="Times New Roman" w:hAnsi="Times New Roman" w:eastAsia="黑体" w:cs="Times New Roman"/>
          <w:b/>
          <w:bCs/>
          <w:color w:val="000000"/>
        </w:rPr>
      </w:pPr>
      <w:r>
        <w:rPr>
          <w:rFonts w:hint="default" w:ascii="Times New Roman" w:hAnsi="Times New Roman" w:eastAsia="黑体" w:cs="Times New Roman"/>
          <w:b/>
          <w:bCs/>
          <w:color w:val="000000"/>
        </w:rPr>
        <w:t>表1-</w:t>
      </w:r>
      <w:r>
        <w:rPr>
          <w:rFonts w:hint="default" w:ascii="Times New Roman" w:hAnsi="Times New Roman" w:eastAsia="黑体" w:cs="Times New Roman"/>
          <w:b/>
          <w:bCs/>
          <w:color w:val="000000"/>
          <w:lang w:val="en-US" w:eastAsia="zh-CN"/>
        </w:rPr>
        <w:t>1</w:t>
      </w:r>
      <w:r>
        <w:rPr>
          <w:rFonts w:hint="default" w:ascii="Times New Roman" w:hAnsi="Times New Roman" w:eastAsia="黑体" w:cs="Times New Roman"/>
          <w:b/>
          <w:bCs/>
          <w:color w:val="000000"/>
        </w:rPr>
        <w:t xml:space="preserve">  分专业在校生统计表（单位：人）</w:t>
      </w:r>
    </w:p>
    <w:tbl>
      <w:tblPr>
        <w:tblStyle w:val="6"/>
        <w:tblW w:w="86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418"/>
        <w:gridCol w:w="1844"/>
        <w:gridCol w:w="1169"/>
        <w:gridCol w:w="1171"/>
        <w:gridCol w:w="1169"/>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shd w:val="clear" w:color="auto" w:fill="BDD6EE"/>
            <w:noWrap w:val="0"/>
            <w:vAlign w:val="center"/>
          </w:tcPr>
          <w:p>
            <w:pPr>
              <w:pStyle w:val="5"/>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序号</w:t>
            </w:r>
          </w:p>
        </w:tc>
        <w:tc>
          <w:tcPr>
            <w:tcW w:w="1418" w:type="dxa"/>
            <w:tcBorders>
              <w:top w:val="single" w:color="auto" w:sz="4" w:space="0"/>
              <w:left w:val="single" w:color="auto" w:sz="4" w:space="0"/>
              <w:bottom w:val="single" w:color="auto" w:sz="4" w:space="0"/>
              <w:right w:val="single" w:color="auto" w:sz="4" w:space="0"/>
            </w:tcBorders>
            <w:shd w:val="clear" w:color="auto" w:fill="BDD6EE"/>
            <w:noWrap w:val="0"/>
            <w:vAlign w:val="center"/>
          </w:tcPr>
          <w:p>
            <w:pPr>
              <w:pStyle w:val="5"/>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专业类别</w:t>
            </w:r>
          </w:p>
        </w:tc>
        <w:tc>
          <w:tcPr>
            <w:tcW w:w="1843" w:type="dxa"/>
            <w:tcBorders>
              <w:top w:val="single" w:color="auto" w:sz="4" w:space="0"/>
              <w:left w:val="single" w:color="auto" w:sz="4" w:space="0"/>
              <w:bottom w:val="single" w:color="auto" w:sz="4" w:space="0"/>
              <w:right w:val="single" w:color="auto" w:sz="4" w:space="0"/>
            </w:tcBorders>
            <w:shd w:val="clear" w:color="auto" w:fill="BDD6EE"/>
            <w:noWrap w:val="0"/>
            <w:vAlign w:val="center"/>
          </w:tcPr>
          <w:p>
            <w:pPr>
              <w:pStyle w:val="5"/>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专业名称</w:t>
            </w:r>
          </w:p>
        </w:tc>
        <w:tc>
          <w:tcPr>
            <w:tcW w:w="1168" w:type="dxa"/>
            <w:tcBorders>
              <w:top w:val="single" w:color="auto" w:sz="4" w:space="0"/>
              <w:left w:val="single" w:color="auto" w:sz="4" w:space="0"/>
              <w:bottom w:val="single" w:color="auto" w:sz="4" w:space="0"/>
              <w:right w:val="single" w:color="auto" w:sz="4" w:space="0"/>
            </w:tcBorders>
            <w:shd w:val="clear" w:color="auto" w:fill="BDD6EE"/>
            <w:noWrap w:val="0"/>
            <w:vAlign w:val="center"/>
          </w:tcPr>
          <w:p>
            <w:pPr>
              <w:pStyle w:val="5"/>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一年级</w:t>
            </w:r>
          </w:p>
          <w:p>
            <w:pPr>
              <w:pStyle w:val="5"/>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人数</w:t>
            </w:r>
          </w:p>
        </w:tc>
        <w:tc>
          <w:tcPr>
            <w:tcW w:w="1170" w:type="dxa"/>
            <w:tcBorders>
              <w:top w:val="single" w:color="auto" w:sz="4" w:space="0"/>
              <w:left w:val="single" w:color="auto" w:sz="4" w:space="0"/>
              <w:bottom w:val="single" w:color="auto" w:sz="4" w:space="0"/>
              <w:right w:val="single" w:color="auto" w:sz="4" w:space="0"/>
            </w:tcBorders>
            <w:shd w:val="clear" w:color="auto" w:fill="BDD6EE"/>
            <w:noWrap w:val="0"/>
            <w:vAlign w:val="center"/>
          </w:tcPr>
          <w:p>
            <w:pPr>
              <w:pStyle w:val="5"/>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二年级</w:t>
            </w:r>
          </w:p>
          <w:p>
            <w:pPr>
              <w:pStyle w:val="5"/>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人数</w:t>
            </w:r>
          </w:p>
        </w:tc>
        <w:tc>
          <w:tcPr>
            <w:tcW w:w="1168" w:type="dxa"/>
            <w:tcBorders>
              <w:top w:val="single" w:color="auto" w:sz="4" w:space="0"/>
              <w:left w:val="single" w:color="auto" w:sz="4" w:space="0"/>
              <w:bottom w:val="single" w:color="auto" w:sz="4" w:space="0"/>
              <w:right w:val="single" w:color="auto" w:sz="4" w:space="0"/>
            </w:tcBorders>
            <w:shd w:val="clear" w:color="auto" w:fill="BDD6EE"/>
            <w:noWrap w:val="0"/>
            <w:vAlign w:val="center"/>
          </w:tcPr>
          <w:p>
            <w:pPr>
              <w:pStyle w:val="5"/>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三年级</w:t>
            </w:r>
          </w:p>
          <w:p>
            <w:pPr>
              <w:pStyle w:val="5"/>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人数</w:t>
            </w:r>
          </w:p>
        </w:tc>
        <w:tc>
          <w:tcPr>
            <w:tcW w:w="1170" w:type="dxa"/>
            <w:tcBorders>
              <w:top w:val="single" w:color="auto" w:sz="4" w:space="0"/>
              <w:left w:val="single" w:color="auto" w:sz="4" w:space="0"/>
              <w:bottom w:val="single" w:color="auto" w:sz="4" w:space="0"/>
              <w:right w:val="single" w:color="auto" w:sz="4" w:space="0"/>
            </w:tcBorders>
            <w:shd w:val="clear" w:color="auto" w:fill="BDD6EE"/>
            <w:noWrap w:val="0"/>
            <w:vAlign w:val="center"/>
          </w:tcPr>
          <w:p>
            <w:pPr>
              <w:pStyle w:val="5"/>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在校生</w:t>
            </w:r>
          </w:p>
          <w:p>
            <w:pPr>
              <w:pStyle w:val="5"/>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top"/>
          </w:tcPr>
          <w:p>
            <w:pPr>
              <w:widowControl/>
              <w:spacing w:before="100" w:beforeAutospacing="1" w:after="100" w:afterAutospacing="1"/>
              <w:jc w:val="center"/>
              <w:rPr>
                <w:rFonts w:hint="default" w:ascii="Times New Roman" w:hAnsi="Times New Roman" w:cs="Times New Roman"/>
                <w:color w:val="000000"/>
                <w:kern w:val="0"/>
                <w:sz w:val="24"/>
              </w:rPr>
            </w:pPr>
            <w:r>
              <w:rPr>
                <w:rFonts w:hint="default" w:ascii="Times New Roman" w:hAnsi="Times New Roman" w:cs="Times New Roman"/>
                <w:b/>
                <w:bCs/>
                <w:color w:val="000000"/>
                <w:kern w:val="0"/>
                <w:szCs w:val="21"/>
              </w:rPr>
              <w:t>1</w:t>
            </w:r>
            <w:r>
              <w:rPr>
                <w:rFonts w:hint="default" w:ascii="Times New Roman" w:hAnsi="Times New Roman" w:cs="Times New Roman"/>
                <w:color w:val="000000"/>
                <w:kern w:val="0"/>
                <w:sz w:val="24"/>
              </w:rPr>
              <w:t xml:space="preserve">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cs="Times New Roman"/>
                <w:color w:val="auto"/>
                <w:sz w:val="22"/>
                <w:szCs w:val="22"/>
              </w:rPr>
            </w:pPr>
            <w:r>
              <w:rPr>
                <w:rFonts w:hint="default" w:ascii="Times New Roman" w:hAnsi="Times New Roman" w:eastAsia="等线" w:cs="Times New Roman"/>
                <w:i w:val="0"/>
                <w:iCs w:val="0"/>
                <w:color w:val="auto"/>
                <w:kern w:val="0"/>
                <w:sz w:val="22"/>
                <w:szCs w:val="22"/>
                <w:u w:val="none"/>
                <w:lang w:val="en-US" w:eastAsia="zh-CN" w:bidi="ar"/>
              </w:rPr>
              <w:t>财经商贸大类</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cs="Times New Roman"/>
                <w:color w:val="auto"/>
                <w:sz w:val="22"/>
                <w:szCs w:val="22"/>
              </w:rPr>
            </w:pPr>
            <w:r>
              <w:rPr>
                <w:rFonts w:hint="default" w:ascii="Times New Roman" w:hAnsi="Times New Roman" w:eastAsia="等线" w:cs="Times New Roman"/>
                <w:i w:val="0"/>
                <w:iCs w:val="0"/>
                <w:color w:val="auto"/>
                <w:kern w:val="0"/>
                <w:sz w:val="22"/>
                <w:szCs w:val="22"/>
                <w:u w:val="none"/>
                <w:lang w:val="en-US" w:eastAsia="zh-CN" w:bidi="ar"/>
              </w:rPr>
              <w:t>会计事务</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192</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101</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132</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sz w:val="22"/>
                <w:szCs w:val="22"/>
              </w:rPr>
            </w:pPr>
            <w:r>
              <w:rPr>
                <w:rFonts w:hint="default" w:ascii="Times New Roman" w:hAnsi="Times New Roman" w:eastAsia="等线" w:cs="Times New Roman"/>
                <w:b/>
                <w:bCs/>
                <w:i w:val="0"/>
                <w:iCs w:val="0"/>
                <w:color w:val="000000"/>
                <w:kern w:val="0"/>
                <w:sz w:val="22"/>
                <w:szCs w:val="22"/>
                <w:u w:val="none"/>
                <w:lang w:val="en-US" w:eastAsia="zh-CN" w:bidi="ar"/>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top"/>
          </w:tcPr>
          <w:p>
            <w:pPr>
              <w:widowControl/>
              <w:spacing w:before="100" w:beforeAutospacing="1" w:after="100" w:afterAutospacing="1"/>
              <w:jc w:val="center"/>
              <w:rPr>
                <w:rFonts w:hint="default" w:ascii="Times New Roman" w:hAnsi="Times New Roman" w:cs="Times New Roman"/>
                <w:color w:val="000000"/>
                <w:kern w:val="0"/>
                <w:sz w:val="24"/>
              </w:rPr>
            </w:pPr>
            <w:r>
              <w:rPr>
                <w:rFonts w:hint="default" w:ascii="Times New Roman" w:hAnsi="Times New Roman" w:cs="Times New Roman"/>
                <w:b/>
                <w:bCs/>
                <w:color w:val="000000"/>
                <w:kern w:val="0"/>
                <w:szCs w:val="21"/>
              </w:rPr>
              <w:t>2</w:t>
            </w:r>
            <w:r>
              <w:rPr>
                <w:rFonts w:hint="default" w:ascii="Times New Roman" w:hAnsi="Times New Roman" w:cs="Times New Roman"/>
                <w:color w:val="000000"/>
                <w:kern w:val="0"/>
                <w:sz w:val="24"/>
              </w:rPr>
              <w:t xml:space="preserve">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cs="Times New Roman"/>
                <w:color w:val="auto"/>
                <w:sz w:val="22"/>
                <w:szCs w:val="22"/>
              </w:rPr>
            </w:pPr>
            <w:r>
              <w:rPr>
                <w:rFonts w:hint="default" w:ascii="Times New Roman" w:hAnsi="Times New Roman" w:eastAsia="等线" w:cs="Times New Roman"/>
                <w:i w:val="0"/>
                <w:iCs w:val="0"/>
                <w:color w:val="auto"/>
                <w:kern w:val="0"/>
                <w:sz w:val="22"/>
                <w:szCs w:val="22"/>
                <w:u w:val="none"/>
                <w:lang w:val="en-US" w:eastAsia="zh-CN" w:bidi="ar"/>
              </w:rPr>
              <w:t>电子与信息大类</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cs="Times New Roman"/>
                <w:color w:val="auto"/>
                <w:sz w:val="22"/>
                <w:szCs w:val="22"/>
              </w:rPr>
            </w:pPr>
            <w:r>
              <w:rPr>
                <w:rFonts w:hint="default" w:ascii="Times New Roman" w:hAnsi="Times New Roman" w:eastAsia="等线" w:cs="Times New Roman"/>
                <w:i w:val="0"/>
                <w:iCs w:val="0"/>
                <w:color w:val="auto"/>
                <w:kern w:val="0"/>
                <w:sz w:val="22"/>
                <w:szCs w:val="22"/>
                <w:u w:val="none"/>
                <w:lang w:val="en-US" w:eastAsia="zh-CN" w:bidi="ar"/>
              </w:rPr>
              <w:t>电子电器应用与维修</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27</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29</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14</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sz w:val="22"/>
                <w:szCs w:val="22"/>
              </w:rPr>
            </w:pPr>
            <w:r>
              <w:rPr>
                <w:rFonts w:hint="default" w:ascii="Times New Roman" w:hAnsi="Times New Roman" w:eastAsia="等线" w:cs="Times New Roman"/>
                <w:b/>
                <w:bCs/>
                <w:i w:val="0"/>
                <w:iCs w:val="0"/>
                <w:color w:val="000000"/>
                <w:kern w:val="0"/>
                <w:sz w:val="22"/>
                <w:szCs w:val="22"/>
                <w:u w:val="none"/>
                <w:lang w:val="en-US" w:eastAsia="zh-CN" w:bidi="ar"/>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top"/>
          </w:tcPr>
          <w:p>
            <w:pPr>
              <w:widowControl/>
              <w:spacing w:before="100" w:beforeAutospacing="1" w:after="100" w:afterAutospacing="1"/>
              <w:jc w:val="center"/>
              <w:rPr>
                <w:rFonts w:hint="default" w:ascii="Times New Roman" w:hAnsi="Times New Roman" w:cs="Times New Roman"/>
                <w:color w:val="000000"/>
                <w:kern w:val="0"/>
                <w:sz w:val="24"/>
              </w:rPr>
            </w:pPr>
            <w:r>
              <w:rPr>
                <w:rFonts w:hint="default" w:ascii="Times New Roman" w:hAnsi="Times New Roman" w:cs="Times New Roman"/>
                <w:b/>
                <w:bCs/>
                <w:color w:val="000000"/>
                <w:kern w:val="0"/>
                <w:szCs w:val="21"/>
              </w:rPr>
              <w:t>3</w:t>
            </w:r>
            <w:r>
              <w:rPr>
                <w:rFonts w:hint="default" w:ascii="Times New Roman" w:hAnsi="Times New Roman" w:cs="Times New Roman"/>
                <w:color w:val="000000"/>
                <w:kern w:val="0"/>
                <w:sz w:val="24"/>
              </w:rPr>
              <w:t xml:space="preserve">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cs="Times New Roman"/>
                <w:color w:val="auto"/>
                <w:sz w:val="22"/>
                <w:szCs w:val="22"/>
              </w:rPr>
            </w:pPr>
            <w:r>
              <w:rPr>
                <w:rFonts w:hint="default" w:ascii="Times New Roman" w:hAnsi="Times New Roman" w:eastAsia="等线" w:cs="Times New Roman"/>
                <w:i w:val="0"/>
                <w:iCs w:val="0"/>
                <w:color w:val="auto"/>
                <w:kern w:val="0"/>
                <w:sz w:val="22"/>
                <w:szCs w:val="22"/>
                <w:u w:val="none"/>
                <w:lang w:val="en-US" w:eastAsia="zh-CN" w:bidi="ar"/>
              </w:rPr>
              <w:t>财经商贸大类</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cs="Times New Roman"/>
                <w:color w:val="auto"/>
                <w:sz w:val="22"/>
                <w:szCs w:val="22"/>
              </w:rPr>
            </w:pPr>
            <w:r>
              <w:rPr>
                <w:rFonts w:hint="default" w:ascii="Times New Roman" w:hAnsi="Times New Roman" w:eastAsia="等线" w:cs="Times New Roman"/>
                <w:i w:val="0"/>
                <w:iCs w:val="0"/>
                <w:color w:val="auto"/>
                <w:kern w:val="0"/>
                <w:sz w:val="22"/>
                <w:szCs w:val="22"/>
                <w:u w:val="none"/>
                <w:lang w:val="en-US" w:eastAsia="zh-CN" w:bidi="ar"/>
              </w:rPr>
              <w:t>电子商务</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144</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66</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126</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sz w:val="22"/>
                <w:szCs w:val="22"/>
              </w:rPr>
            </w:pPr>
            <w:r>
              <w:rPr>
                <w:rFonts w:hint="default" w:ascii="Times New Roman" w:hAnsi="Times New Roman" w:eastAsia="等线" w:cs="Times New Roman"/>
                <w:b/>
                <w:bCs/>
                <w:i w:val="0"/>
                <w:iCs w:val="0"/>
                <w:color w:val="000000"/>
                <w:kern w:val="0"/>
                <w:sz w:val="22"/>
                <w:szCs w:val="22"/>
                <w:u w:val="none"/>
                <w:lang w:val="en-US" w:eastAsia="zh-CN" w:bidi="ar"/>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top"/>
          </w:tcPr>
          <w:p>
            <w:pPr>
              <w:widowControl/>
              <w:spacing w:before="100" w:beforeAutospacing="1" w:after="100" w:afterAutospacing="1"/>
              <w:jc w:val="center"/>
              <w:rPr>
                <w:rFonts w:hint="default" w:ascii="Times New Roman" w:hAnsi="Times New Roman" w:cs="Times New Roman"/>
                <w:color w:val="000000"/>
                <w:kern w:val="0"/>
                <w:sz w:val="24"/>
              </w:rPr>
            </w:pPr>
            <w:r>
              <w:rPr>
                <w:rFonts w:hint="default" w:ascii="Times New Roman" w:hAnsi="Times New Roman" w:cs="Times New Roman"/>
                <w:b/>
                <w:bCs/>
                <w:color w:val="000000"/>
                <w:kern w:val="0"/>
                <w:szCs w:val="21"/>
              </w:rPr>
              <w:t>4</w:t>
            </w:r>
            <w:r>
              <w:rPr>
                <w:rFonts w:hint="default" w:ascii="Times New Roman" w:hAnsi="Times New Roman" w:cs="Times New Roman"/>
                <w:color w:val="000000"/>
                <w:kern w:val="0"/>
                <w:sz w:val="24"/>
              </w:rPr>
              <w:t xml:space="preserve"> </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cs="Times New Roman"/>
                <w:color w:val="auto"/>
                <w:sz w:val="22"/>
                <w:szCs w:val="22"/>
              </w:rPr>
            </w:pPr>
            <w:r>
              <w:rPr>
                <w:rFonts w:hint="default" w:ascii="Times New Roman" w:hAnsi="Times New Roman" w:eastAsia="等线" w:cs="Times New Roman"/>
                <w:i w:val="0"/>
                <w:iCs w:val="0"/>
                <w:color w:val="auto"/>
                <w:kern w:val="0"/>
                <w:sz w:val="22"/>
                <w:szCs w:val="22"/>
                <w:u w:val="none"/>
                <w:lang w:val="en-US" w:eastAsia="zh-CN" w:bidi="ar"/>
              </w:rPr>
              <w:t>交通运输大类</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cs="Times New Roman"/>
                <w:color w:val="auto"/>
                <w:sz w:val="22"/>
                <w:szCs w:val="22"/>
              </w:rPr>
            </w:pPr>
            <w:r>
              <w:rPr>
                <w:rFonts w:hint="default" w:ascii="Times New Roman" w:hAnsi="Times New Roman" w:eastAsia="等线" w:cs="Times New Roman"/>
                <w:i w:val="0"/>
                <w:iCs w:val="0"/>
                <w:color w:val="auto"/>
                <w:kern w:val="0"/>
                <w:sz w:val="22"/>
                <w:szCs w:val="22"/>
                <w:u w:val="none"/>
                <w:lang w:val="en-US" w:eastAsia="zh-CN" w:bidi="ar"/>
              </w:rPr>
              <w:t>航空服务</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90</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83</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142</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sz w:val="22"/>
                <w:szCs w:val="22"/>
              </w:rPr>
            </w:pPr>
            <w:r>
              <w:rPr>
                <w:rFonts w:hint="default" w:ascii="Times New Roman" w:hAnsi="Times New Roman" w:eastAsia="等线" w:cs="Times New Roman"/>
                <w:b/>
                <w:bCs/>
                <w:i w:val="0"/>
                <w:iCs w:val="0"/>
                <w:color w:val="000000"/>
                <w:kern w:val="0"/>
                <w:sz w:val="22"/>
                <w:szCs w:val="22"/>
                <w:u w:val="none"/>
                <w:lang w:val="en-US" w:eastAsia="zh-CN" w:bidi="ar"/>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top"/>
          </w:tcPr>
          <w:p>
            <w:pPr>
              <w:widowControl/>
              <w:spacing w:before="100" w:beforeAutospacing="1" w:after="100" w:afterAutospacing="1"/>
              <w:jc w:val="center"/>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5</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cs="Times New Roman"/>
                <w:color w:val="auto"/>
                <w:sz w:val="22"/>
                <w:szCs w:val="22"/>
              </w:rPr>
            </w:pPr>
            <w:r>
              <w:rPr>
                <w:rFonts w:hint="default" w:ascii="Times New Roman" w:hAnsi="Times New Roman" w:eastAsia="等线" w:cs="Times New Roman"/>
                <w:i w:val="0"/>
                <w:iCs w:val="0"/>
                <w:color w:val="auto"/>
                <w:kern w:val="0"/>
                <w:sz w:val="22"/>
                <w:szCs w:val="22"/>
                <w:u w:val="none"/>
                <w:lang w:val="en-US" w:eastAsia="zh-CN" w:bidi="ar"/>
              </w:rPr>
              <w:t>电子与信息大类</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cs="Times New Roman"/>
                <w:color w:val="auto"/>
                <w:sz w:val="22"/>
                <w:szCs w:val="22"/>
              </w:rPr>
            </w:pPr>
            <w:r>
              <w:rPr>
                <w:rFonts w:hint="default" w:ascii="Times New Roman" w:hAnsi="Times New Roman" w:eastAsia="等线" w:cs="Times New Roman"/>
                <w:i w:val="0"/>
                <w:iCs w:val="0"/>
                <w:color w:val="auto"/>
                <w:kern w:val="0"/>
                <w:sz w:val="22"/>
                <w:szCs w:val="22"/>
                <w:u w:val="none"/>
                <w:lang w:val="en-US" w:eastAsia="zh-CN" w:bidi="ar"/>
              </w:rPr>
              <w:t>计算机平面设计</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169</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50</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83</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sz w:val="22"/>
                <w:szCs w:val="22"/>
              </w:rPr>
            </w:pPr>
            <w:r>
              <w:rPr>
                <w:rFonts w:hint="default" w:ascii="Times New Roman" w:hAnsi="Times New Roman" w:eastAsia="等线" w:cs="Times New Roman"/>
                <w:b/>
                <w:bCs/>
                <w:i w:val="0"/>
                <w:iCs w:val="0"/>
                <w:color w:val="000000"/>
                <w:kern w:val="0"/>
                <w:sz w:val="22"/>
                <w:szCs w:val="22"/>
                <w:u w:val="none"/>
                <w:lang w:val="en-US" w:eastAsia="zh-CN" w:bidi="ar"/>
              </w:rPr>
              <w:t>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top"/>
          </w:tcPr>
          <w:p>
            <w:pPr>
              <w:widowControl/>
              <w:spacing w:before="100" w:beforeAutospacing="1" w:after="100" w:afterAutospacing="1"/>
              <w:jc w:val="center"/>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6</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cs="Times New Roman"/>
                <w:color w:val="auto"/>
                <w:sz w:val="22"/>
                <w:szCs w:val="22"/>
              </w:rPr>
            </w:pPr>
            <w:r>
              <w:rPr>
                <w:rFonts w:hint="default" w:ascii="Times New Roman" w:hAnsi="Times New Roman" w:eastAsia="等线" w:cs="Times New Roman"/>
                <w:i w:val="0"/>
                <w:iCs w:val="0"/>
                <w:color w:val="auto"/>
                <w:kern w:val="0"/>
                <w:sz w:val="22"/>
                <w:szCs w:val="22"/>
                <w:u w:val="none"/>
                <w:lang w:val="en-US" w:eastAsia="zh-CN" w:bidi="ar"/>
              </w:rPr>
              <w:t>财经商贸大类</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cs="Times New Roman"/>
                <w:color w:val="auto"/>
                <w:sz w:val="22"/>
                <w:szCs w:val="22"/>
              </w:rPr>
            </w:pPr>
            <w:r>
              <w:rPr>
                <w:rFonts w:hint="default" w:ascii="Times New Roman" w:hAnsi="Times New Roman" w:eastAsia="等线" w:cs="Times New Roman"/>
                <w:i w:val="0"/>
                <w:iCs w:val="0"/>
                <w:color w:val="auto"/>
                <w:kern w:val="0"/>
                <w:sz w:val="22"/>
                <w:szCs w:val="22"/>
                <w:u w:val="none"/>
                <w:lang w:val="en-US" w:eastAsia="zh-CN" w:bidi="ar"/>
              </w:rPr>
              <w:t>金融事务</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66</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45</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70</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sz w:val="22"/>
                <w:szCs w:val="22"/>
              </w:rPr>
            </w:pPr>
            <w:r>
              <w:rPr>
                <w:rFonts w:hint="default" w:ascii="Times New Roman" w:hAnsi="Times New Roman" w:eastAsia="等线" w:cs="Times New Roman"/>
                <w:b/>
                <w:bCs/>
                <w:i w:val="0"/>
                <w:iCs w:val="0"/>
                <w:color w:val="000000"/>
                <w:kern w:val="0"/>
                <w:sz w:val="22"/>
                <w:szCs w:val="22"/>
                <w:u w:val="none"/>
                <w:lang w:val="en-US" w:eastAsia="zh-CN" w:bidi="ar"/>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top"/>
          </w:tcPr>
          <w:p>
            <w:pPr>
              <w:widowControl/>
              <w:spacing w:before="100" w:beforeAutospacing="1" w:after="100" w:afterAutospacing="1"/>
              <w:jc w:val="center"/>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7</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cs="Times New Roman"/>
                <w:color w:val="auto"/>
                <w:sz w:val="22"/>
                <w:szCs w:val="22"/>
              </w:rPr>
            </w:pPr>
            <w:r>
              <w:rPr>
                <w:rFonts w:hint="default" w:ascii="Times New Roman" w:hAnsi="Times New Roman" w:eastAsia="等线" w:cs="Times New Roman"/>
                <w:i w:val="0"/>
                <w:iCs w:val="0"/>
                <w:color w:val="auto"/>
                <w:kern w:val="0"/>
                <w:sz w:val="22"/>
                <w:szCs w:val="22"/>
                <w:u w:val="none"/>
                <w:lang w:val="en-US" w:eastAsia="zh-CN" w:bidi="ar"/>
              </w:rPr>
              <w:t>旅游大类</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cs="Times New Roman"/>
                <w:color w:val="auto"/>
                <w:sz w:val="22"/>
                <w:szCs w:val="22"/>
              </w:rPr>
            </w:pPr>
            <w:r>
              <w:rPr>
                <w:rFonts w:hint="default" w:ascii="Times New Roman" w:hAnsi="Times New Roman" w:eastAsia="等线" w:cs="Times New Roman"/>
                <w:i w:val="0"/>
                <w:iCs w:val="0"/>
                <w:color w:val="auto"/>
                <w:kern w:val="0"/>
                <w:sz w:val="22"/>
                <w:szCs w:val="22"/>
                <w:u w:val="none"/>
                <w:lang w:val="en-US" w:eastAsia="zh-CN" w:bidi="ar"/>
              </w:rPr>
              <w:t>康养休闲旅游服务</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15</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0</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0</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sz w:val="22"/>
                <w:szCs w:val="22"/>
              </w:rPr>
            </w:pPr>
            <w:r>
              <w:rPr>
                <w:rFonts w:hint="default" w:ascii="Times New Roman" w:hAnsi="Times New Roman" w:eastAsia="等线" w:cs="Times New Roman"/>
                <w:b/>
                <w:bCs/>
                <w:i w:val="0"/>
                <w:iCs w:val="0"/>
                <w:color w:val="000000"/>
                <w:kern w:val="0"/>
                <w:sz w:val="22"/>
                <w:szCs w:val="22"/>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top"/>
          </w:tcPr>
          <w:p>
            <w:pPr>
              <w:widowControl/>
              <w:spacing w:before="100" w:beforeAutospacing="1" w:after="100" w:afterAutospacing="1"/>
              <w:jc w:val="center"/>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8</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cs="Times New Roman"/>
                <w:color w:val="auto"/>
                <w:sz w:val="22"/>
                <w:szCs w:val="22"/>
              </w:rPr>
            </w:pPr>
            <w:r>
              <w:rPr>
                <w:rFonts w:hint="default" w:ascii="Times New Roman" w:hAnsi="Times New Roman" w:eastAsia="等线" w:cs="Times New Roman"/>
                <w:i w:val="0"/>
                <w:iCs w:val="0"/>
                <w:color w:val="auto"/>
                <w:kern w:val="0"/>
                <w:sz w:val="22"/>
                <w:szCs w:val="22"/>
                <w:u w:val="none"/>
                <w:lang w:val="en-US" w:eastAsia="zh-CN" w:bidi="ar"/>
              </w:rPr>
              <w:t>农林牧渔大类</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cs="Times New Roman"/>
                <w:color w:val="auto"/>
                <w:sz w:val="22"/>
                <w:szCs w:val="22"/>
              </w:rPr>
            </w:pPr>
            <w:r>
              <w:rPr>
                <w:rFonts w:hint="default" w:ascii="Times New Roman" w:hAnsi="Times New Roman" w:eastAsia="等线" w:cs="Times New Roman"/>
                <w:i w:val="0"/>
                <w:iCs w:val="0"/>
                <w:color w:val="auto"/>
                <w:kern w:val="0"/>
                <w:sz w:val="22"/>
                <w:szCs w:val="22"/>
                <w:u w:val="none"/>
                <w:lang w:val="en-US" w:eastAsia="zh-CN" w:bidi="ar"/>
              </w:rPr>
              <w:t>农村电气技术</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2</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0</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0</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sz w:val="22"/>
                <w:szCs w:val="22"/>
              </w:rPr>
            </w:pPr>
            <w:r>
              <w:rPr>
                <w:rFonts w:hint="default" w:ascii="Times New Roman" w:hAnsi="Times New Roman" w:eastAsia="等线" w:cs="Times New Roman"/>
                <w:b/>
                <w:bCs/>
                <w:i w:val="0"/>
                <w:iCs w:val="0"/>
                <w:color w:val="00000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top"/>
          </w:tcPr>
          <w:p>
            <w:pPr>
              <w:widowControl/>
              <w:spacing w:before="100" w:beforeAutospacing="1" w:after="100" w:afterAutospacing="1"/>
              <w:jc w:val="center"/>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9</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cs="Times New Roman"/>
                <w:color w:val="auto"/>
                <w:sz w:val="22"/>
                <w:szCs w:val="22"/>
              </w:rPr>
            </w:pPr>
            <w:r>
              <w:rPr>
                <w:rFonts w:hint="default" w:ascii="Times New Roman" w:hAnsi="Times New Roman" w:eastAsia="等线" w:cs="Times New Roman"/>
                <w:i w:val="0"/>
                <w:iCs w:val="0"/>
                <w:color w:val="auto"/>
                <w:kern w:val="0"/>
                <w:sz w:val="22"/>
                <w:szCs w:val="22"/>
                <w:u w:val="none"/>
                <w:lang w:val="en-US" w:eastAsia="zh-CN" w:bidi="ar"/>
              </w:rPr>
              <w:t>交通运输大类</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cs="Times New Roman"/>
                <w:color w:val="auto"/>
                <w:sz w:val="22"/>
                <w:szCs w:val="22"/>
              </w:rPr>
            </w:pPr>
            <w:r>
              <w:rPr>
                <w:rFonts w:hint="default" w:ascii="Times New Roman" w:hAnsi="Times New Roman" w:eastAsia="等线" w:cs="Times New Roman"/>
                <w:i w:val="0"/>
                <w:iCs w:val="0"/>
                <w:color w:val="auto"/>
                <w:kern w:val="0"/>
                <w:sz w:val="22"/>
                <w:szCs w:val="22"/>
                <w:u w:val="none"/>
                <w:lang w:val="en-US" w:eastAsia="zh-CN" w:bidi="ar"/>
              </w:rPr>
              <w:t>汽车运用与维修</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148</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59</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105</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sz w:val="22"/>
                <w:szCs w:val="22"/>
              </w:rPr>
            </w:pPr>
            <w:r>
              <w:rPr>
                <w:rFonts w:hint="default" w:ascii="Times New Roman" w:hAnsi="Times New Roman" w:eastAsia="等线" w:cs="Times New Roman"/>
                <w:b/>
                <w:bCs/>
                <w:i w:val="0"/>
                <w:iCs w:val="0"/>
                <w:color w:val="000000"/>
                <w:kern w:val="0"/>
                <w:sz w:val="22"/>
                <w:szCs w:val="22"/>
                <w:u w:val="none"/>
                <w:lang w:val="en-US" w:eastAsia="zh-CN" w:bidi="ar"/>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bCs/>
                <w:color w:val="000000"/>
                <w:szCs w:val="21"/>
              </w:rPr>
            </w:pPr>
            <w:r>
              <w:rPr>
                <w:rFonts w:hint="default" w:ascii="Times New Roman" w:hAnsi="Times New Roman" w:cs="Times New Roman"/>
                <w:b/>
                <w:bCs/>
                <w:color w:val="000000"/>
                <w:szCs w:val="21"/>
              </w:rPr>
              <w:t>10</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cs="Times New Roman"/>
                <w:color w:val="auto"/>
                <w:sz w:val="22"/>
                <w:szCs w:val="22"/>
              </w:rPr>
            </w:pPr>
            <w:r>
              <w:rPr>
                <w:rFonts w:hint="default" w:ascii="Times New Roman" w:hAnsi="Times New Roman" w:eastAsia="等线" w:cs="Times New Roman"/>
                <w:i w:val="0"/>
                <w:iCs w:val="0"/>
                <w:color w:val="auto"/>
                <w:kern w:val="0"/>
                <w:sz w:val="22"/>
                <w:szCs w:val="22"/>
                <w:u w:val="none"/>
                <w:lang w:val="en-US" w:eastAsia="zh-CN" w:bidi="ar"/>
              </w:rPr>
              <w:t>文化艺术大类</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cs="Times New Roman"/>
                <w:color w:val="auto"/>
                <w:sz w:val="22"/>
                <w:szCs w:val="22"/>
              </w:rPr>
            </w:pPr>
            <w:r>
              <w:rPr>
                <w:rFonts w:hint="default" w:ascii="Times New Roman" w:hAnsi="Times New Roman" w:eastAsia="等线" w:cs="Times New Roman"/>
                <w:i w:val="0"/>
                <w:iCs w:val="0"/>
                <w:color w:val="auto"/>
                <w:kern w:val="0"/>
                <w:sz w:val="22"/>
                <w:szCs w:val="22"/>
                <w:u w:val="none"/>
                <w:lang w:val="en-US" w:eastAsia="zh-CN" w:bidi="ar"/>
              </w:rPr>
              <w:t>社会文化艺术</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109</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30</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42</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sz w:val="22"/>
                <w:szCs w:val="22"/>
              </w:rPr>
            </w:pPr>
            <w:r>
              <w:rPr>
                <w:rFonts w:hint="default" w:ascii="Times New Roman" w:hAnsi="Times New Roman" w:eastAsia="等线" w:cs="Times New Roman"/>
                <w:b/>
                <w:bCs/>
                <w:i w:val="0"/>
                <w:iCs w:val="0"/>
                <w:color w:val="000000"/>
                <w:kern w:val="0"/>
                <w:sz w:val="22"/>
                <w:szCs w:val="22"/>
                <w:u w:val="none"/>
                <w:lang w:val="en-US" w:eastAsia="zh-CN" w:bidi="ar"/>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000000"/>
                <w:szCs w:val="21"/>
                <w:lang w:val="en-US" w:eastAsia="zh-CN"/>
              </w:rPr>
            </w:pPr>
            <w:r>
              <w:rPr>
                <w:rFonts w:hint="default" w:ascii="Times New Roman" w:hAnsi="Times New Roman" w:cs="Times New Roman"/>
                <w:b/>
                <w:bCs/>
                <w:color w:val="000000"/>
                <w:szCs w:val="21"/>
                <w:lang w:val="en-US" w:eastAsia="zh-CN"/>
              </w:rPr>
              <w:t>11</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auto"/>
                <w:kern w:val="0"/>
                <w:sz w:val="22"/>
                <w:szCs w:val="22"/>
                <w:u w:val="none"/>
                <w:lang w:val="en-US" w:eastAsia="zh-CN" w:bidi="ar"/>
              </w:rPr>
            </w:pPr>
            <w:r>
              <w:rPr>
                <w:rFonts w:hint="default" w:ascii="Times New Roman" w:hAnsi="Times New Roman" w:eastAsia="等线" w:cs="Times New Roman"/>
                <w:i w:val="0"/>
                <w:iCs w:val="0"/>
                <w:color w:val="auto"/>
                <w:kern w:val="0"/>
                <w:sz w:val="22"/>
                <w:szCs w:val="22"/>
                <w:u w:val="none"/>
                <w:lang w:val="en-US" w:eastAsia="zh-CN" w:bidi="ar"/>
              </w:rPr>
              <w:t>交通运输大类</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default" w:ascii="Times New Roman" w:hAnsi="Times New Roman" w:cs="Times New Roman"/>
                <w:color w:val="auto"/>
                <w:sz w:val="22"/>
                <w:szCs w:val="22"/>
              </w:rPr>
            </w:pPr>
            <w:r>
              <w:rPr>
                <w:rFonts w:hint="default" w:ascii="Times New Roman" w:hAnsi="Times New Roman" w:eastAsia="等线" w:cs="Times New Roman"/>
                <w:i w:val="0"/>
                <w:iCs w:val="0"/>
                <w:color w:val="auto"/>
                <w:kern w:val="0"/>
                <w:sz w:val="22"/>
                <w:szCs w:val="22"/>
                <w:u w:val="none"/>
                <w:lang w:val="en-US" w:eastAsia="zh-CN" w:bidi="ar"/>
              </w:rPr>
              <w:t>飞机设备维修</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11</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0</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right"/>
              <w:textAlignment w:val="center"/>
              <w:rPr>
                <w:rFonts w:hint="default" w:ascii="Times New Roman" w:hAnsi="Times New Roman" w:cs="Times New Roman"/>
                <w:color w:val="000000"/>
                <w:sz w:val="22"/>
                <w:szCs w:val="22"/>
              </w:rPr>
            </w:pPr>
            <w:r>
              <w:rPr>
                <w:rFonts w:hint="default" w:ascii="Times New Roman" w:hAnsi="Times New Roman" w:eastAsia="等线" w:cs="Times New Roman"/>
                <w:i w:val="0"/>
                <w:iCs w:val="0"/>
                <w:color w:val="000000"/>
                <w:kern w:val="0"/>
                <w:sz w:val="22"/>
                <w:szCs w:val="22"/>
                <w:u w:val="none"/>
                <w:lang w:val="en-US" w:eastAsia="zh-CN" w:bidi="ar"/>
              </w:rPr>
              <w:t>0</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sz w:val="22"/>
                <w:szCs w:val="22"/>
              </w:rPr>
            </w:pPr>
            <w:r>
              <w:rPr>
                <w:rFonts w:hint="default" w:ascii="Times New Roman" w:hAnsi="Times New Roman" w:eastAsia="等线" w:cs="Times New Roman"/>
                <w:b/>
                <w:bCs/>
                <w:i w:val="0"/>
                <w:iCs w:val="0"/>
                <w:color w:val="000000"/>
                <w:kern w:val="0"/>
                <w:sz w:val="22"/>
                <w:szCs w:val="22"/>
                <w:u w:val="none"/>
                <w:lang w:val="en-US" w:eastAsia="zh-CN"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gridSpan w:val="3"/>
            <w:tcBorders>
              <w:top w:val="single" w:color="auto" w:sz="4" w:space="0"/>
              <w:left w:val="single" w:color="auto" w:sz="4" w:space="0"/>
              <w:bottom w:val="single" w:color="auto" w:sz="4" w:space="0"/>
              <w:right w:val="single" w:color="auto" w:sz="4" w:space="0"/>
            </w:tcBorders>
            <w:noWrap w:val="0"/>
            <w:vAlign w:val="top"/>
          </w:tcPr>
          <w:p>
            <w:pPr>
              <w:widowControl/>
              <w:spacing w:before="100" w:beforeAutospacing="1" w:after="100" w:afterAutospacing="1"/>
              <w:jc w:val="center"/>
              <w:rPr>
                <w:rFonts w:hint="default" w:ascii="Times New Roman" w:hAnsi="Times New Roman" w:cs="Times New Roman"/>
                <w:color w:val="000000"/>
                <w:kern w:val="0"/>
                <w:sz w:val="24"/>
              </w:rPr>
            </w:pPr>
            <w:r>
              <w:rPr>
                <w:rFonts w:hint="default" w:ascii="Times New Roman" w:hAnsi="Times New Roman" w:cs="Times New Roman"/>
                <w:b/>
                <w:bCs/>
                <w:color w:val="000000"/>
                <w:kern w:val="0"/>
                <w:szCs w:val="21"/>
              </w:rPr>
              <w:t>合计</w:t>
            </w:r>
            <w:r>
              <w:rPr>
                <w:rFonts w:hint="default" w:ascii="Times New Roman" w:hAnsi="Times New Roman" w:cs="Times New Roman"/>
                <w:color w:val="000000"/>
                <w:kern w:val="0"/>
                <w:sz w:val="24"/>
              </w:rPr>
              <w:t xml:space="preserve"> </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新宋体" w:cs="Times New Roman"/>
                <w:color w:val="000000"/>
                <w:szCs w:val="21"/>
              </w:rPr>
            </w:pPr>
            <w:r>
              <w:rPr>
                <w:rFonts w:hint="default" w:ascii="Times New Roman" w:hAnsi="Times New Roman" w:eastAsia="等线" w:cs="Times New Roman"/>
                <w:b/>
                <w:bCs/>
                <w:i w:val="0"/>
                <w:iCs w:val="0"/>
                <w:color w:val="000000"/>
                <w:kern w:val="0"/>
                <w:sz w:val="22"/>
                <w:szCs w:val="22"/>
                <w:u w:val="none"/>
                <w:lang w:val="en-US" w:eastAsia="zh-CN" w:bidi="ar"/>
              </w:rPr>
              <w:t>973</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新宋体" w:cs="Times New Roman"/>
                <w:color w:val="000000"/>
                <w:szCs w:val="21"/>
              </w:rPr>
            </w:pPr>
            <w:r>
              <w:rPr>
                <w:rFonts w:hint="default" w:ascii="Times New Roman" w:hAnsi="Times New Roman" w:eastAsia="等线" w:cs="Times New Roman"/>
                <w:b/>
                <w:bCs/>
                <w:i w:val="0"/>
                <w:iCs w:val="0"/>
                <w:color w:val="000000"/>
                <w:kern w:val="0"/>
                <w:sz w:val="22"/>
                <w:szCs w:val="22"/>
                <w:u w:val="none"/>
                <w:lang w:val="en-US" w:eastAsia="zh-CN" w:bidi="ar"/>
              </w:rPr>
              <w:t>463</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sz w:val="22"/>
                <w:szCs w:val="22"/>
              </w:rPr>
            </w:pPr>
            <w:r>
              <w:rPr>
                <w:rFonts w:hint="default" w:ascii="Times New Roman" w:hAnsi="Times New Roman" w:eastAsia="等线" w:cs="Times New Roman"/>
                <w:b/>
                <w:bCs/>
                <w:i w:val="0"/>
                <w:iCs w:val="0"/>
                <w:color w:val="000000"/>
                <w:kern w:val="0"/>
                <w:sz w:val="22"/>
                <w:szCs w:val="22"/>
                <w:u w:val="none"/>
                <w:lang w:val="en-US" w:eastAsia="zh-CN" w:bidi="ar"/>
              </w:rPr>
              <w:t>714</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000000"/>
                <w:sz w:val="22"/>
                <w:szCs w:val="22"/>
              </w:rPr>
            </w:pPr>
            <w:r>
              <w:rPr>
                <w:rFonts w:hint="default" w:ascii="Times New Roman" w:hAnsi="Times New Roman" w:eastAsia="等线" w:cs="Times New Roman"/>
                <w:b/>
                <w:bCs/>
                <w:i w:val="0"/>
                <w:iCs w:val="0"/>
                <w:color w:val="000000"/>
                <w:kern w:val="0"/>
                <w:sz w:val="22"/>
                <w:szCs w:val="22"/>
                <w:u w:val="none"/>
                <w:lang w:val="en-US" w:eastAsia="zh-CN" w:bidi="ar"/>
              </w:rPr>
              <w:t>2150</w:t>
            </w:r>
          </w:p>
        </w:tc>
      </w:tr>
    </w:tbl>
    <w:p>
      <w:pPr>
        <w:spacing w:line="360" w:lineRule="auto"/>
        <w:ind w:firstLine="6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1.3教师队伍。</w:t>
      </w:r>
    </w:p>
    <w:p>
      <w:pPr>
        <w:spacing w:line="360" w:lineRule="auto"/>
        <w:ind w:firstLine="6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学校拥有一支业务精干、作风坚强的教师队伍，为学校的教学质量提供了有力的保障。全校共有事业编制171个，其中实际在编在岗142人，差额拨款142个。实际在职教职工193人，其中专任教师85人，本科及以上学历100%。硕士研究生学历教师9人，占专任教师10.59%。专任教师中高级职称教师25人。思想政治课专任教师3人，名班主任工作室2个，思想政治课教学创新团队1个，体育课专任教师4人、美育课专任教师9人</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德育管理教师14人</w:t>
      </w:r>
      <w:r>
        <w:rPr>
          <w:rFonts w:hint="default" w:ascii="Times New Roman" w:hAnsi="Times New Roman" w:eastAsia="仿宋_GB2312" w:cs="Times New Roman"/>
          <w:color w:val="000000" w:themeColor="text1"/>
          <w:sz w:val="32"/>
          <w:szCs w:val="32"/>
          <w14:textFill>
            <w14:solidFill>
              <w14:schemeClr w14:val="tx1"/>
            </w14:solidFill>
          </w14:textFill>
        </w:rPr>
        <w:t>。</w:t>
      </w:r>
    </w:p>
    <w:p>
      <w:pPr>
        <w:spacing w:line="360" w:lineRule="auto"/>
        <w:ind w:firstLine="6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1.4设施设备。</w:t>
      </w:r>
    </w:p>
    <w:p>
      <w:pPr>
        <w:pStyle w:val="5"/>
        <w:shd w:val="clear" w:color="auto" w:fill="FFFFFF"/>
        <w:spacing w:line="240" w:lineRule="atLeast"/>
        <w:jc w:val="center"/>
        <w:rPr>
          <w:rFonts w:hint="default" w:ascii="Times New Roman" w:hAnsi="Times New Roman" w:cs="Times New Roman"/>
        </w:rPr>
      </w:pPr>
      <w:r>
        <w:rPr>
          <w:rFonts w:hint="default" w:ascii="Times New Roman" w:hAnsi="Times New Roman" w:eastAsia="黑体" w:cs="Times New Roman"/>
          <w:b/>
          <w:bCs/>
          <w:color w:val="000000"/>
        </w:rPr>
        <w:t>表1-</w:t>
      </w:r>
      <w:r>
        <w:rPr>
          <w:rFonts w:hint="default" w:ascii="Times New Roman" w:hAnsi="Times New Roman" w:eastAsia="黑体" w:cs="Times New Roman"/>
          <w:b/>
          <w:bCs/>
          <w:color w:val="000000"/>
          <w:lang w:val="en-US" w:eastAsia="zh-CN"/>
        </w:rPr>
        <w:t>2</w:t>
      </w:r>
      <w:r>
        <w:rPr>
          <w:rFonts w:hint="default" w:ascii="Times New Roman" w:hAnsi="Times New Roman" w:eastAsia="黑体" w:cs="Times New Roman"/>
          <w:b/>
          <w:bCs/>
          <w:color w:val="000000"/>
        </w:rPr>
        <w:t xml:space="preserve">  </w:t>
      </w:r>
      <w:r>
        <w:rPr>
          <w:rFonts w:hint="default" w:ascii="Times New Roman" w:hAnsi="Times New Roman" w:eastAsia="黑体" w:cs="Times New Roman"/>
          <w:b/>
          <w:bCs/>
          <w:color w:val="000000"/>
          <w:lang w:val="en-US" w:eastAsia="zh-CN"/>
        </w:rPr>
        <w:t>设施设备</w:t>
      </w:r>
      <w:r>
        <w:rPr>
          <w:rFonts w:hint="default" w:ascii="Times New Roman" w:hAnsi="Times New Roman" w:eastAsia="黑体" w:cs="Times New Roman"/>
          <w:b/>
          <w:bCs/>
          <w:color w:val="000000"/>
        </w:rPr>
        <w:t>统计表</w:t>
      </w:r>
    </w:p>
    <w:tbl>
      <w:tblPr>
        <w:tblW w:w="769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078"/>
        <w:gridCol w:w="3372"/>
        <w:gridCol w:w="1080"/>
        <w:gridCol w:w="108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0" w:hRule="atLeast"/>
        </w:trPr>
        <w:tc>
          <w:tcPr>
            <w:tcW w:w="1078" w:type="dxa"/>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pStyle w:val="5"/>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lang w:val="en-US" w:eastAsia="zh-CN"/>
              </w:rPr>
              <w:t>序号</w:t>
            </w:r>
          </w:p>
        </w:tc>
        <w:tc>
          <w:tcPr>
            <w:tcW w:w="3372" w:type="dxa"/>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pStyle w:val="5"/>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lang w:val="en-US" w:eastAsia="zh-CN"/>
              </w:rPr>
              <w:t>指标</w:t>
            </w:r>
          </w:p>
        </w:tc>
        <w:tc>
          <w:tcPr>
            <w:tcW w:w="1080" w:type="dxa"/>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pStyle w:val="5"/>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lang w:val="en-US" w:eastAsia="zh-CN"/>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pStyle w:val="5"/>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lang w:val="en-US" w:eastAsia="zh-CN"/>
              </w:rPr>
              <w:t>2020年</w:t>
            </w:r>
          </w:p>
        </w:tc>
        <w:tc>
          <w:tcPr>
            <w:tcW w:w="1080" w:type="dxa"/>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pStyle w:val="5"/>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lang w:val="en-US" w:eastAsia="zh-CN"/>
              </w:rPr>
              <w:t>2021年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0" w:hRule="atLeast"/>
        </w:trPr>
        <w:tc>
          <w:tcPr>
            <w:tcW w:w="1078"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1</w:t>
            </w:r>
          </w:p>
        </w:tc>
        <w:tc>
          <w:tcPr>
            <w:tcW w:w="3372"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是否设立教育信息化技术中心</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否</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0" w:hRule="atLeast"/>
        </w:trPr>
        <w:tc>
          <w:tcPr>
            <w:tcW w:w="1078"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2</w:t>
            </w:r>
          </w:p>
        </w:tc>
        <w:tc>
          <w:tcPr>
            <w:tcW w:w="3372"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*校园网主干最大宽带</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Mbps</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10000</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0" w:hRule="atLeast"/>
        </w:trPr>
        <w:tc>
          <w:tcPr>
            <w:tcW w:w="1078"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3</w:t>
            </w:r>
          </w:p>
        </w:tc>
        <w:tc>
          <w:tcPr>
            <w:tcW w:w="3372"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网络多媒体教室数</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间</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71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0" w:hRule="atLeast"/>
        </w:trPr>
        <w:tc>
          <w:tcPr>
            <w:tcW w:w="1078"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4</w:t>
            </w:r>
          </w:p>
        </w:tc>
        <w:tc>
          <w:tcPr>
            <w:tcW w:w="3372"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上网课程总量</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0</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0" w:hRule="atLeast"/>
        </w:trPr>
        <w:tc>
          <w:tcPr>
            <w:tcW w:w="1078"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5</w:t>
            </w:r>
          </w:p>
        </w:tc>
        <w:tc>
          <w:tcPr>
            <w:tcW w:w="3372"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*电子图书数</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册</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51239</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51239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0" w:hRule="atLeast"/>
        </w:trPr>
        <w:tc>
          <w:tcPr>
            <w:tcW w:w="1078"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6</w:t>
            </w:r>
          </w:p>
        </w:tc>
        <w:tc>
          <w:tcPr>
            <w:tcW w:w="3372"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生均电子图书</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册/生</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24.93</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23.83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0" w:hRule="atLeast"/>
        </w:trPr>
        <w:tc>
          <w:tcPr>
            <w:tcW w:w="1078"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7</w:t>
            </w:r>
          </w:p>
        </w:tc>
        <w:tc>
          <w:tcPr>
            <w:tcW w:w="3372"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教学用计算机台数</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台</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1111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1007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0" w:hRule="atLeast"/>
        </w:trPr>
        <w:tc>
          <w:tcPr>
            <w:tcW w:w="1078"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8</w:t>
            </w:r>
          </w:p>
        </w:tc>
        <w:tc>
          <w:tcPr>
            <w:tcW w:w="3372"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生均教学用计算机台数</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台</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0.5</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0" w:hRule="atLeast"/>
        </w:trPr>
        <w:tc>
          <w:tcPr>
            <w:tcW w:w="1078"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9</w:t>
            </w:r>
          </w:p>
        </w:tc>
        <w:tc>
          <w:tcPr>
            <w:tcW w:w="3372"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是否建立协同办公系统</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否</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0" w:hRule="atLeast"/>
        </w:trPr>
        <w:tc>
          <w:tcPr>
            <w:tcW w:w="1078"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10</w:t>
            </w:r>
          </w:p>
        </w:tc>
        <w:tc>
          <w:tcPr>
            <w:tcW w:w="3372"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是否建立学校门户网站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是</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0" w:hRule="atLeast"/>
        </w:trPr>
        <w:tc>
          <w:tcPr>
            <w:tcW w:w="1078"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11</w:t>
            </w:r>
          </w:p>
        </w:tc>
        <w:tc>
          <w:tcPr>
            <w:tcW w:w="3372"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是否建立教务管理系统</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是</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1078"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12</w:t>
            </w:r>
          </w:p>
        </w:tc>
        <w:tc>
          <w:tcPr>
            <w:tcW w:w="3372"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是否建立课程资源库储存教案、讲义等材料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是</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0" w:hRule="atLeast"/>
        </w:trPr>
        <w:tc>
          <w:tcPr>
            <w:tcW w:w="1078"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13</w:t>
            </w:r>
          </w:p>
        </w:tc>
        <w:tc>
          <w:tcPr>
            <w:tcW w:w="3372"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是否建立课程直播、录播平台</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是</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78"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14</w:t>
            </w:r>
          </w:p>
        </w:tc>
        <w:tc>
          <w:tcPr>
            <w:tcW w:w="3372"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是否建立学生和教师的互动学习应用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否</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78"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15</w:t>
            </w:r>
          </w:p>
        </w:tc>
        <w:tc>
          <w:tcPr>
            <w:tcW w:w="3372"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是否建立课程资源共享应用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否</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pPr>
              <w:pStyle w:val="5"/>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val="en-US" w:eastAsia="zh-CN"/>
              </w:rPr>
              <w:t>否</w:t>
            </w:r>
          </w:p>
        </w:tc>
      </w:tr>
    </w:tbl>
    <w:p>
      <w:pPr>
        <w:spacing w:line="360" w:lineRule="auto"/>
        <w:ind w:firstLine="600"/>
        <w:rPr>
          <w:rFonts w:hint="default" w:ascii="Times New Roman" w:hAnsi="Times New Roman" w:eastAsia="仿宋_GB2312" w:cs="Times New Roman"/>
          <w:sz w:val="32"/>
          <w:szCs w:val="32"/>
        </w:rPr>
      </w:pPr>
    </w:p>
    <w:p>
      <w:pPr>
        <w:spacing w:line="360" w:lineRule="auto"/>
        <w:ind w:firstLine="6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2.学生发展</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2.1学生素质。</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2.1.1</w:t>
      </w:r>
      <w:r>
        <w:rPr>
          <w:rFonts w:hint="default" w:ascii="Times New Roman" w:hAnsi="Times New Roman" w:eastAsia="仿宋_GB2312" w:cs="Times New Roman"/>
          <w:sz w:val="32"/>
          <w:szCs w:val="32"/>
        </w:rPr>
        <w:t>学校以全面贯彻党的教育方针</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坚持科学发展观</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坚持以人为本</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实践“一切为了学生”的教育宗旨</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以制度为保证</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以思想道德建设为基础</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以管理为手段</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以活动为载体</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以学生全面发展和个性发展为目标</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积极探索新形势下学生教育、管理、服务工作的新内容、新模式、新机制</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切实发挥了学生工作制度育人、思想育人、管理育人、活动育人、服务育人等职能</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为德育的可持续发展奠定了坚实的基础。</w:t>
      </w:r>
    </w:p>
    <w:p>
      <w:pPr>
        <w:spacing w:line="360" w:lineRule="auto"/>
        <w:ind w:firstLine="6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一是</w:t>
      </w:r>
      <w:r>
        <w:rPr>
          <w:rFonts w:hint="default" w:ascii="Times New Roman" w:hAnsi="Times New Roman" w:eastAsia="仿宋_GB2312" w:cs="Times New Roman"/>
          <w:sz w:val="32"/>
          <w:szCs w:val="32"/>
        </w:rPr>
        <w:t>完善制度落实责任</w:t>
      </w:r>
      <w:r>
        <w:rPr>
          <w:rFonts w:hint="default" w:ascii="Times New Roman" w:hAnsi="Times New Roman" w:eastAsia="仿宋_GB2312" w:cs="Times New Roman"/>
          <w:sz w:val="32"/>
          <w:szCs w:val="32"/>
          <w:lang w:eastAsia="zh-CN"/>
        </w:rPr>
        <w:t>。</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了严格地加强学生的纪律、卫生等管理，科室多次召开科室人员全体会议制定和完善了学团保工作职责、班主任工作职责，班主任及公寓老师职责及考核、学生日常安全管理制度、学生处分管理制度、学生宿舍管理制度、关于禁止携带手机进教学区制度、学生会制度等相关管理制度。</w:t>
      </w:r>
    </w:p>
    <w:p>
      <w:pPr>
        <w:spacing w:line="360" w:lineRule="auto"/>
        <w:ind w:firstLine="6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二是</w:t>
      </w:r>
      <w:r>
        <w:rPr>
          <w:rFonts w:hint="default" w:ascii="Times New Roman" w:hAnsi="Times New Roman" w:eastAsia="仿宋_GB2312" w:cs="Times New Roman"/>
          <w:sz w:val="32"/>
          <w:szCs w:val="32"/>
        </w:rPr>
        <w:t>一手抓安全纪律，一手抓卫生两手都不放松</w:t>
      </w:r>
      <w:r>
        <w:rPr>
          <w:rFonts w:hint="default" w:ascii="Times New Roman" w:hAnsi="Times New Roman" w:eastAsia="仿宋_GB2312" w:cs="Times New Roman"/>
          <w:sz w:val="32"/>
          <w:szCs w:val="32"/>
          <w:lang w:eastAsia="zh-CN"/>
        </w:rPr>
        <w:t>。</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安全纪律是学生能够认真学习的重要前提和条件。因此，狠抓纪律教育，狠抓常规管理，明确班主任职责，落实常规纪律检查已成为学团保的工作和工作重点。为了从源头上杜绝不安全事故的发生学团保老师每月在宿舍教室检查刀具、电器等违禁品，并做到每周至少三次不定时全方位检查，从而有效预防事件的发生。每天早上和起床后，晚上熄灯睡觉前，都有学团保老师、班主任同志在学生公寓楼内检查宿舍纪律和学生的入铺人数。班主任坚持每晚进公寓楼查铺。按照学校的总体安排，学团保经过积极准备，组织召开法制报告会，邀请有关专家为学生讲解法律知识，使学生了解懂法知法的重要性，从而激发学生安全意识，同时在班级召开主题班会，对学生进行校纪校规的再教育，营造了文明平安的校园氛围。</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三是</w:t>
      </w:r>
      <w:r>
        <w:rPr>
          <w:rFonts w:hint="default" w:ascii="Times New Roman" w:hAnsi="Times New Roman" w:eastAsia="仿宋_GB2312" w:cs="Times New Roman"/>
          <w:sz w:val="32"/>
          <w:szCs w:val="32"/>
        </w:rPr>
        <w:t>唱国歌、升国旗、观红色电影弘扬爱国主义精神</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抓爱国主义教育不放松，学团保精心组织，认真落实每周一早的“升国旗、唱国歌”制度，通过这种身临其境、耳濡目染的教育提高了学生的爱国主义意识，从而提升学生学习的积极性。</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四是</w:t>
      </w:r>
      <w:r>
        <w:rPr>
          <w:rFonts w:hint="default" w:ascii="Times New Roman" w:hAnsi="Times New Roman" w:eastAsia="仿宋_GB2312" w:cs="Times New Roman"/>
          <w:sz w:val="32"/>
          <w:szCs w:val="32"/>
        </w:rPr>
        <w:t>强化对班主任、学生会干部的指导工作</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学生的实际情况，坚持每周至少一次的班主任会议，在抓好班主任工作的同时积极抓好学生会干部的培训指导和管理工作，在日常工作中给他们压担子、出点子，使他们在具体的工作实践中接受锻炼，提高他们的工作能力。</w:t>
      </w:r>
    </w:p>
    <w:p>
      <w:pPr>
        <w:spacing w:line="360" w:lineRule="auto"/>
        <w:ind w:firstLine="600"/>
        <w:rPr>
          <w:rFonts w:hint="default" w:ascii="Times New Roman" w:hAnsi="Times New Roman" w:eastAsia="黑体" w:cs="Times New Roman"/>
          <w:b/>
          <w:bCs/>
          <w:color w:val="000000"/>
        </w:rPr>
      </w:pPr>
      <w:r>
        <w:rPr>
          <w:rFonts w:hint="default" w:ascii="Times New Roman" w:hAnsi="Times New Roman" w:eastAsia="仿宋_GB2312" w:cs="Times New Roman"/>
          <w:sz w:val="32"/>
          <w:szCs w:val="32"/>
        </w:rPr>
        <w:t>2021年我校共有80名学生入团，学生参加青年志愿服务人数1223人次，获校级表彰荣誉452人次。文化课合格率为66.45%，教去年降低了10个百分点，专业技能合格率为85.2%，较去年提高了3个百分点；上学年我校共有2057名学生参加国家体质健康标准测试，测评合格率为83.4%；2021年我校共毕业760人，毕业率100%，其中升学639人，升学率为84.1%；2021年学校加大学生职业能力培训力度，效果明显，今年我校学生获取各类职业技能等级证书（含职业资格证书）397人，叫去年增加了178%，培训过程中，学生对职业教育的认识更一步加深，本年我校学生获省级技能大赛三等奖5个，市级一等奖1个，二等奖2个，三等奖7个。</w:t>
      </w:r>
    </w:p>
    <w:p>
      <w:pPr>
        <w:pStyle w:val="5"/>
        <w:shd w:val="clear" w:color="auto" w:fill="FFFFFF"/>
        <w:spacing w:before="0" w:beforeAutospacing="0" w:after="0" w:afterAutospacing="0" w:line="240" w:lineRule="atLeast"/>
        <w:jc w:val="center"/>
        <w:rPr>
          <w:rFonts w:hint="default" w:ascii="Times New Roman" w:hAnsi="Times New Roman" w:eastAsia="黑体" w:cs="Times New Roman"/>
          <w:b/>
          <w:bCs/>
          <w:color w:val="000000"/>
        </w:rPr>
      </w:pPr>
    </w:p>
    <w:p>
      <w:pPr>
        <w:pStyle w:val="5"/>
        <w:shd w:val="clear" w:color="auto" w:fill="FFFFFF"/>
        <w:spacing w:before="0" w:beforeAutospacing="0" w:after="0" w:afterAutospacing="0" w:line="240" w:lineRule="atLeast"/>
        <w:jc w:val="center"/>
        <w:rPr>
          <w:rFonts w:hint="default" w:ascii="Times New Roman" w:hAnsi="Times New Roman" w:eastAsia="黑体" w:cs="Times New Roman"/>
          <w:b/>
          <w:bCs/>
          <w:color w:val="000000"/>
        </w:rPr>
      </w:pPr>
      <w:r>
        <w:rPr>
          <w:rFonts w:hint="default" w:ascii="Times New Roman" w:hAnsi="Times New Roman" w:eastAsia="黑体" w:cs="Times New Roman"/>
          <w:b/>
          <w:bCs/>
          <w:color w:val="000000"/>
        </w:rPr>
        <w:t>表</w:t>
      </w:r>
      <w:r>
        <w:rPr>
          <w:rFonts w:hint="default" w:ascii="Times New Roman" w:hAnsi="Times New Roman" w:eastAsia="黑体" w:cs="Times New Roman"/>
          <w:b/>
          <w:bCs/>
          <w:color w:val="000000"/>
          <w:lang w:val="en-US" w:eastAsia="zh-CN"/>
        </w:rPr>
        <w:t xml:space="preserve">2-1  </w:t>
      </w:r>
      <w:r>
        <w:rPr>
          <w:rFonts w:hint="default" w:ascii="Times New Roman" w:hAnsi="Times New Roman" w:eastAsia="黑体" w:cs="Times New Roman"/>
          <w:b/>
          <w:bCs/>
          <w:color w:val="000000"/>
        </w:rPr>
        <w:t>2020</w:t>
      </w:r>
      <w:r>
        <w:rPr>
          <w:rFonts w:hint="default" w:ascii="Times New Roman" w:hAnsi="Times New Roman" w:eastAsia="黑体" w:cs="Times New Roman"/>
          <w:b/>
          <w:bCs/>
          <w:color w:val="000000"/>
        </w:rPr>
        <w:t>—20</w:t>
      </w:r>
      <w:r>
        <w:rPr>
          <w:rFonts w:hint="default" w:ascii="Times New Roman" w:hAnsi="Times New Roman" w:eastAsia="黑体" w:cs="Times New Roman"/>
          <w:b/>
          <w:bCs/>
          <w:color w:val="000000"/>
        </w:rPr>
        <w:t>21</w:t>
      </w:r>
      <w:r>
        <w:rPr>
          <w:rFonts w:hint="default" w:ascii="Times New Roman" w:hAnsi="Times New Roman" w:eastAsia="黑体" w:cs="Times New Roman"/>
          <w:b/>
          <w:bCs/>
          <w:color w:val="000000"/>
        </w:rPr>
        <w:t>年学生思想政治表现情况</w:t>
      </w:r>
    </w:p>
    <w:tbl>
      <w:tblPr>
        <w:tblStyle w:val="6"/>
        <w:tblW w:w="8522" w:type="dxa"/>
        <w:jc w:val="center"/>
        <w:tblLayout w:type="fixed"/>
        <w:tblCellMar>
          <w:top w:w="0" w:type="dxa"/>
          <w:left w:w="108" w:type="dxa"/>
          <w:bottom w:w="0" w:type="dxa"/>
          <w:right w:w="108" w:type="dxa"/>
        </w:tblCellMar>
      </w:tblPr>
      <w:tblGrid>
        <w:gridCol w:w="1287"/>
        <w:gridCol w:w="782"/>
        <w:gridCol w:w="816"/>
        <w:gridCol w:w="1192"/>
        <w:gridCol w:w="1134"/>
        <w:gridCol w:w="1276"/>
        <w:gridCol w:w="1361"/>
        <w:gridCol w:w="674"/>
      </w:tblGrid>
      <w:tr>
        <w:tblPrEx>
          <w:tblCellMar>
            <w:top w:w="0" w:type="dxa"/>
            <w:left w:w="108" w:type="dxa"/>
            <w:bottom w:w="0" w:type="dxa"/>
            <w:right w:w="108" w:type="dxa"/>
          </w:tblCellMar>
        </w:tblPrEx>
        <w:trPr>
          <w:trHeight w:val="495" w:hRule="atLeast"/>
          <w:jc w:val="center"/>
        </w:trPr>
        <w:tc>
          <w:tcPr>
            <w:tcW w:w="1287" w:type="dxa"/>
            <w:vMerge w:val="restart"/>
            <w:tcBorders>
              <w:top w:val="single" w:color="auto" w:sz="4" w:space="0"/>
              <w:left w:val="single" w:color="auto" w:sz="4" w:space="0"/>
              <w:bottom w:val="single" w:color="auto" w:sz="4" w:space="0"/>
              <w:right w:val="single" w:color="auto" w:sz="4" w:space="0"/>
              <w:tl2br w:val="single" w:color="auto" w:sz="4" w:space="0"/>
            </w:tcBorders>
            <w:shd w:val="clear" w:color="auto" w:fill="C6D9F1"/>
            <w:vAlign w:val="center"/>
          </w:tcPr>
          <w:p>
            <w:pPr>
              <w:pStyle w:val="5"/>
              <w:spacing w:before="0" w:beforeAutospacing="0" w:after="0" w:afterAutospacing="0"/>
              <w:ind w:firstLine="105" w:firstLineChars="50"/>
              <w:jc w:val="center"/>
              <w:rPr>
                <w:rFonts w:hint="default" w:ascii="Times New Roman" w:hAnsi="Times New Roman" w:eastAsia="新宋体" w:cs="Times New Roman"/>
                <w:b/>
                <w:bCs/>
                <w:color w:val="000000"/>
                <w:sz w:val="21"/>
                <w:szCs w:val="21"/>
              </w:rPr>
            </w:pPr>
            <w:r>
              <w:rPr>
                <w:rFonts w:hint="default" w:ascii="Times New Roman" w:hAnsi="Times New Roman" w:eastAsia="新宋体" w:cs="Times New Roman"/>
                <w:b/>
                <w:bCs/>
                <w:color w:val="000000"/>
                <w:sz w:val="21"/>
                <w:szCs w:val="21"/>
              </w:rPr>
              <w:t xml:space="preserve"> 评价指标</w:t>
            </w:r>
          </w:p>
          <w:p>
            <w:pPr>
              <w:pStyle w:val="5"/>
              <w:spacing w:before="0" w:beforeAutospacing="0" w:after="0" w:afterAutospacing="0"/>
              <w:jc w:val="center"/>
              <w:rPr>
                <w:rFonts w:hint="default" w:ascii="Times New Roman" w:hAnsi="Times New Roman" w:eastAsia="新宋体" w:cs="Times New Roman"/>
                <w:b/>
                <w:bCs/>
                <w:color w:val="000000"/>
                <w:sz w:val="21"/>
                <w:szCs w:val="21"/>
              </w:rPr>
            </w:pPr>
          </w:p>
          <w:p>
            <w:pPr>
              <w:pStyle w:val="5"/>
              <w:spacing w:before="0" w:beforeAutospacing="0" w:after="0" w:afterAutospacing="0"/>
              <w:rPr>
                <w:rFonts w:hint="default" w:ascii="Times New Roman" w:hAnsi="Times New Roman" w:eastAsia="新宋体" w:cs="Times New Roman"/>
                <w:b/>
                <w:bCs/>
                <w:color w:val="000000"/>
                <w:sz w:val="21"/>
                <w:szCs w:val="21"/>
              </w:rPr>
            </w:pPr>
            <w:r>
              <w:rPr>
                <w:rFonts w:hint="default" w:ascii="Times New Roman" w:hAnsi="Times New Roman" w:eastAsia="新宋体" w:cs="Times New Roman"/>
                <w:b/>
                <w:bCs/>
                <w:color w:val="000000"/>
                <w:sz w:val="21"/>
                <w:szCs w:val="21"/>
              </w:rPr>
              <w:t>年度</w:t>
            </w:r>
          </w:p>
        </w:tc>
        <w:tc>
          <w:tcPr>
            <w:tcW w:w="782" w:type="dxa"/>
            <w:vMerge w:val="restart"/>
            <w:tcBorders>
              <w:top w:val="single" w:color="auto" w:sz="4" w:space="0"/>
              <w:left w:val="single" w:color="auto" w:sz="4" w:space="0"/>
              <w:bottom w:val="single" w:color="auto" w:sz="4" w:space="0"/>
              <w:right w:val="single" w:color="auto" w:sz="4" w:space="0"/>
            </w:tcBorders>
            <w:shd w:val="clear" w:color="auto" w:fill="C6D9F1"/>
            <w:vAlign w:val="center"/>
          </w:tcPr>
          <w:p>
            <w:pPr>
              <w:pStyle w:val="5"/>
              <w:spacing w:before="0" w:beforeAutospacing="0" w:after="0" w:afterAutospacing="0"/>
              <w:jc w:val="center"/>
              <w:rPr>
                <w:rFonts w:hint="default" w:ascii="Times New Roman" w:hAnsi="Times New Roman" w:eastAsia="新宋体" w:cs="Times New Roman"/>
                <w:b/>
                <w:bCs/>
                <w:color w:val="000000"/>
                <w:sz w:val="21"/>
                <w:szCs w:val="21"/>
              </w:rPr>
            </w:pPr>
            <w:r>
              <w:rPr>
                <w:rFonts w:hint="default" w:ascii="Times New Roman" w:hAnsi="Times New Roman" w:eastAsia="新宋体" w:cs="Times New Roman"/>
                <w:b/>
                <w:bCs/>
                <w:color w:val="000000"/>
                <w:sz w:val="21"/>
                <w:szCs w:val="21"/>
              </w:rPr>
              <w:t>巩固率</w:t>
            </w:r>
          </w:p>
        </w:tc>
        <w:tc>
          <w:tcPr>
            <w:tcW w:w="816" w:type="dxa"/>
            <w:vMerge w:val="restart"/>
            <w:tcBorders>
              <w:top w:val="single" w:color="auto" w:sz="4" w:space="0"/>
              <w:left w:val="single" w:color="auto" w:sz="4" w:space="0"/>
              <w:bottom w:val="single" w:color="auto" w:sz="4" w:space="0"/>
              <w:right w:val="single" w:color="auto" w:sz="4" w:space="0"/>
            </w:tcBorders>
            <w:shd w:val="clear" w:color="auto" w:fill="C6D9F1"/>
            <w:vAlign w:val="center"/>
          </w:tcPr>
          <w:p>
            <w:pPr>
              <w:pStyle w:val="5"/>
              <w:spacing w:before="0" w:beforeAutospacing="0" w:after="0" w:afterAutospacing="0"/>
              <w:jc w:val="center"/>
              <w:rPr>
                <w:rFonts w:hint="default" w:ascii="Times New Roman" w:hAnsi="Times New Roman" w:eastAsia="新宋体" w:cs="Times New Roman"/>
                <w:b/>
                <w:bCs/>
                <w:color w:val="000000"/>
                <w:sz w:val="21"/>
                <w:szCs w:val="21"/>
              </w:rPr>
            </w:pPr>
            <w:r>
              <w:rPr>
                <w:rFonts w:hint="default" w:ascii="Times New Roman" w:hAnsi="Times New Roman" w:eastAsia="新宋体" w:cs="Times New Roman"/>
                <w:b/>
                <w:bCs/>
                <w:color w:val="000000"/>
                <w:sz w:val="21"/>
                <w:szCs w:val="21"/>
              </w:rPr>
              <w:t>入团人数</w:t>
            </w:r>
          </w:p>
        </w:tc>
        <w:tc>
          <w:tcPr>
            <w:tcW w:w="1192" w:type="dxa"/>
            <w:vMerge w:val="restart"/>
            <w:tcBorders>
              <w:top w:val="single" w:color="auto" w:sz="4" w:space="0"/>
              <w:left w:val="single" w:color="auto" w:sz="4" w:space="0"/>
              <w:bottom w:val="single" w:color="auto" w:sz="4" w:space="0"/>
              <w:right w:val="single" w:color="auto" w:sz="4" w:space="0"/>
            </w:tcBorders>
            <w:shd w:val="clear" w:color="auto" w:fill="C6D9F1"/>
            <w:vAlign w:val="center"/>
          </w:tcPr>
          <w:p>
            <w:pPr>
              <w:pStyle w:val="5"/>
              <w:spacing w:before="0" w:beforeAutospacing="0" w:after="0" w:afterAutospacing="0"/>
              <w:jc w:val="center"/>
              <w:rPr>
                <w:rFonts w:hint="default" w:ascii="Times New Roman" w:hAnsi="Times New Roman" w:eastAsia="新宋体" w:cs="Times New Roman"/>
                <w:b/>
                <w:bCs/>
                <w:color w:val="000000"/>
                <w:sz w:val="21"/>
                <w:szCs w:val="21"/>
              </w:rPr>
            </w:pPr>
            <w:r>
              <w:rPr>
                <w:rFonts w:hint="default" w:ascii="Times New Roman" w:hAnsi="Times New Roman" w:eastAsia="新宋体" w:cs="Times New Roman"/>
                <w:b/>
                <w:bCs/>
                <w:color w:val="000000"/>
                <w:sz w:val="21"/>
                <w:szCs w:val="21"/>
              </w:rPr>
              <w:t>入党人数（含积极分子）</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C6D9F1"/>
            <w:vAlign w:val="center"/>
          </w:tcPr>
          <w:p>
            <w:pPr>
              <w:pStyle w:val="5"/>
              <w:spacing w:before="0" w:beforeAutospacing="0" w:after="0" w:afterAutospacing="0"/>
              <w:jc w:val="center"/>
              <w:rPr>
                <w:rFonts w:hint="default" w:ascii="Times New Roman" w:hAnsi="Times New Roman" w:eastAsia="新宋体" w:cs="Times New Roman"/>
                <w:b/>
                <w:bCs/>
                <w:color w:val="000000"/>
                <w:sz w:val="21"/>
                <w:szCs w:val="21"/>
              </w:rPr>
            </w:pPr>
            <w:r>
              <w:rPr>
                <w:rFonts w:hint="default" w:ascii="Times New Roman" w:hAnsi="Times New Roman" w:eastAsia="新宋体" w:cs="Times New Roman"/>
                <w:b/>
                <w:bCs/>
                <w:color w:val="000000"/>
                <w:sz w:val="21"/>
                <w:szCs w:val="21"/>
              </w:rPr>
              <w:t>学生社团个数</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C6D9F1"/>
            <w:vAlign w:val="center"/>
          </w:tcPr>
          <w:p>
            <w:pPr>
              <w:pStyle w:val="5"/>
              <w:spacing w:before="0" w:beforeAutospacing="0" w:after="0" w:afterAutospacing="0"/>
              <w:jc w:val="center"/>
              <w:rPr>
                <w:rFonts w:hint="default" w:ascii="Times New Roman" w:hAnsi="Times New Roman" w:eastAsia="新宋体" w:cs="Times New Roman"/>
                <w:b/>
                <w:bCs/>
                <w:color w:val="000000"/>
                <w:sz w:val="21"/>
                <w:szCs w:val="21"/>
              </w:rPr>
            </w:pPr>
            <w:r>
              <w:rPr>
                <w:rFonts w:hint="default" w:ascii="Times New Roman" w:hAnsi="Times New Roman" w:eastAsia="新宋体" w:cs="Times New Roman"/>
                <w:b/>
                <w:bCs/>
                <w:color w:val="000000"/>
                <w:sz w:val="21"/>
                <w:szCs w:val="21"/>
              </w:rPr>
              <w:t>参加青年志愿服务人数</w:t>
            </w:r>
          </w:p>
        </w:tc>
        <w:tc>
          <w:tcPr>
            <w:tcW w:w="2035" w:type="dxa"/>
            <w:gridSpan w:val="2"/>
            <w:tcBorders>
              <w:top w:val="single" w:color="auto" w:sz="4" w:space="0"/>
              <w:left w:val="single" w:color="auto" w:sz="4" w:space="0"/>
              <w:bottom w:val="single" w:color="auto" w:sz="4" w:space="0"/>
              <w:right w:val="single" w:color="auto" w:sz="4" w:space="0"/>
            </w:tcBorders>
            <w:shd w:val="clear" w:color="auto" w:fill="C6D9F1"/>
            <w:vAlign w:val="center"/>
          </w:tcPr>
          <w:p>
            <w:pPr>
              <w:pStyle w:val="5"/>
              <w:spacing w:before="0" w:beforeAutospacing="0" w:after="0" w:afterAutospacing="0"/>
              <w:jc w:val="center"/>
              <w:rPr>
                <w:rFonts w:hint="default" w:ascii="Times New Roman" w:hAnsi="Times New Roman" w:eastAsia="新宋体" w:cs="Times New Roman"/>
                <w:b/>
                <w:bCs/>
                <w:color w:val="000000"/>
                <w:sz w:val="21"/>
                <w:szCs w:val="21"/>
              </w:rPr>
            </w:pPr>
            <w:r>
              <w:rPr>
                <w:rFonts w:hint="default" w:ascii="Times New Roman" w:hAnsi="Times New Roman" w:eastAsia="新宋体" w:cs="Times New Roman"/>
                <w:b/>
                <w:bCs/>
                <w:color w:val="000000"/>
                <w:sz w:val="21"/>
                <w:szCs w:val="21"/>
              </w:rPr>
              <w:t>获荣誉称号人数</w:t>
            </w:r>
          </w:p>
        </w:tc>
      </w:tr>
      <w:tr>
        <w:tblPrEx>
          <w:tblCellMar>
            <w:top w:w="0" w:type="dxa"/>
            <w:left w:w="108" w:type="dxa"/>
            <w:bottom w:w="0" w:type="dxa"/>
            <w:right w:w="108" w:type="dxa"/>
          </w:tblCellMar>
        </w:tblPrEx>
        <w:trPr>
          <w:trHeight w:val="270" w:hRule="atLeast"/>
          <w:jc w:val="center"/>
        </w:trPr>
        <w:tc>
          <w:tcPr>
            <w:tcW w:w="12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eastAsia="新宋体" w:cs="Times New Roman"/>
                <w:b/>
                <w:bCs/>
                <w:color w:val="000000"/>
                <w:szCs w:val="21"/>
              </w:rPr>
            </w:pPr>
          </w:p>
        </w:tc>
        <w:tc>
          <w:tcPr>
            <w:tcW w:w="7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eastAsia="新宋体" w:cs="Times New Roman"/>
                <w:b/>
                <w:bCs/>
                <w:color w:val="000000"/>
                <w:szCs w:val="21"/>
              </w:rPr>
            </w:pPr>
          </w:p>
        </w:tc>
        <w:tc>
          <w:tcPr>
            <w:tcW w:w="8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eastAsia="新宋体" w:cs="Times New Roman"/>
                <w:b/>
                <w:bCs/>
                <w:color w:val="000000"/>
                <w:szCs w:val="21"/>
              </w:rPr>
            </w:pPr>
          </w:p>
        </w:tc>
        <w:tc>
          <w:tcPr>
            <w:tcW w:w="11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eastAsia="新宋体" w:cs="Times New Roman"/>
                <w:b/>
                <w:bCs/>
                <w:color w:val="000000"/>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eastAsia="新宋体" w:cs="Times New Roman"/>
                <w:b/>
                <w:bCs/>
                <w:color w:val="000000"/>
                <w:szCs w:val="21"/>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eastAsia="新宋体" w:cs="Times New Roman"/>
                <w:b/>
                <w:bCs/>
                <w:color w:val="000000"/>
                <w:szCs w:val="21"/>
              </w:rPr>
            </w:pPr>
          </w:p>
        </w:tc>
        <w:tc>
          <w:tcPr>
            <w:tcW w:w="1361" w:type="dxa"/>
            <w:tcBorders>
              <w:top w:val="single" w:color="auto" w:sz="4" w:space="0"/>
              <w:left w:val="single" w:color="auto" w:sz="4" w:space="0"/>
              <w:bottom w:val="single" w:color="auto" w:sz="4" w:space="0"/>
              <w:right w:val="single" w:color="auto" w:sz="4" w:space="0"/>
            </w:tcBorders>
            <w:shd w:val="clear" w:color="auto" w:fill="C6D9F1"/>
            <w:vAlign w:val="center"/>
          </w:tcPr>
          <w:p>
            <w:pPr>
              <w:pStyle w:val="5"/>
              <w:spacing w:before="0" w:beforeAutospacing="0" w:after="0" w:afterAutospacing="0"/>
              <w:jc w:val="center"/>
              <w:rPr>
                <w:rFonts w:hint="default" w:ascii="Times New Roman" w:hAnsi="Times New Roman" w:eastAsia="新宋体" w:cs="Times New Roman"/>
                <w:b/>
                <w:bCs/>
                <w:color w:val="000000"/>
                <w:sz w:val="21"/>
                <w:szCs w:val="21"/>
              </w:rPr>
            </w:pPr>
            <w:r>
              <w:rPr>
                <w:rFonts w:hint="default" w:ascii="Times New Roman" w:hAnsi="Times New Roman" w:eastAsia="新宋体" w:cs="Times New Roman"/>
                <w:b/>
                <w:bCs/>
                <w:color w:val="000000"/>
                <w:sz w:val="21"/>
                <w:szCs w:val="21"/>
              </w:rPr>
              <w:t>县级及级上</w:t>
            </w:r>
          </w:p>
        </w:tc>
        <w:tc>
          <w:tcPr>
            <w:tcW w:w="674" w:type="dxa"/>
            <w:tcBorders>
              <w:top w:val="single" w:color="auto" w:sz="4" w:space="0"/>
              <w:left w:val="single" w:color="auto" w:sz="4" w:space="0"/>
              <w:bottom w:val="single" w:color="auto" w:sz="4" w:space="0"/>
              <w:right w:val="single" w:color="auto" w:sz="4" w:space="0"/>
            </w:tcBorders>
            <w:shd w:val="clear" w:color="auto" w:fill="C6D9F1"/>
            <w:vAlign w:val="center"/>
          </w:tcPr>
          <w:p>
            <w:pPr>
              <w:pStyle w:val="5"/>
              <w:spacing w:before="0" w:beforeAutospacing="0" w:after="0" w:afterAutospacing="0"/>
              <w:jc w:val="center"/>
              <w:rPr>
                <w:rFonts w:hint="default" w:ascii="Times New Roman" w:hAnsi="Times New Roman" w:eastAsia="新宋体" w:cs="Times New Roman"/>
                <w:b/>
                <w:bCs/>
                <w:color w:val="000000"/>
                <w:sz w:val="21"/>
                <w:szCs w:val="21"/>
              </w:rPr>
            </w:pPr>
            <w:r>
              <w:rPr>
                <w:rFonts w:hint="default" w:ascii="Times New Roman" w:hAnsi="Times New Roman" w:eastAsia="新宋体" w:cs="Times New Roman"/>
                <w:b/>
                <w:bCs/>
                <w:color w:val="000000"/>
                <w:sz w:val="21"/>
                <w:szCs w:val="21"/>
              </w:rPr>
              <w:t>校级</w:t>
            </w:r>
          </w:p>
        </w:tc>
      </w:tr>
      <w:tr>
        <w:tblPrEx>
          <w:tblCellMar>
            <w:top w:w="0" w:type="dxa"/>
            <w:left w:w="108" w:type="dxa"/>
            <w:bottom w:w="0" w:type="dxa"/>
            <w:right w:w="108" w:type="dxa"/>
          </w:tblCellMar>
        </w:tblPrEx>
        <w:trPr>
          <w:jc w:val="center"/>
        </w:trPr>
        <w:tc>
          <w:tcPr>
            <w:tcW w:w="1287"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2019年</w:t>
            </w:r>
          </w:p>
        </w:tc>
        <w:tc>
          <w:tcPr>
            <w:tcW w:w="782"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100%</w:t>
            </w:r>
          </w:p>
        </w:tc>
        <w:tc>
          <w:tcPr>
            <w:tcW w:w="816"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77</w:t>
            </w:r>
          </w:p>
        </w:tc>
        <w:tc>
          <w:tcPr>
            <w:tcW w:w="1192"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3</w:t>
            </w:r>
          </w:p>
        </w:tc>
        <w:tc>
          <w:tcPr>
            <w:tcW w:w="1134"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31</w:t>
            </w:r>
          </w:p>
        </w:tc>
        <w:tc>
          <w:tcPr>
            <w:tcW w:w="1276"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1015</w:t>
            </w:r>
          </w:p>
        </w:tc>
        <w:tc>
          <w:tcPr>
            <w:tcW w:w="1361"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0</w:t>
            </w:r>
          </w:p>
        </w:tc>
        <w:tc>
          <w:tcPr>
            <w:tcW w:w="674"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304</w:t>
            </w:r>
          </w:p>
        </w:tc>
      </w:tr>
      <w:tr>
        <w:tblPrEx>
          <w:tblCellMar>
            <w:top w:w="0" w:type="dxa"/>
            <w:left w:w="108" w:type="dxa"/>
            <w:bottom w:w="0" w:type="dxa"/>
            <w:right w:w="108" w:type="dxa"/>
          </w:tblCellMar>
        </w:tblPrEx>
        <w:trPr>
          <w:jc w:val="center"/>
        </w:trPr>
        <w:tc>
          <w:tcPr>
            <w:tcW w:w="1287"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2020年</w:t>
            </w:r>
          </w:p>
        </w:tc>
        <w:tc>
          <w:tcPr>
            <w:tcW w:w="782"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100%</w:t>
            </w:r>
          </w:p>
        </w:tc>
        <w:tc>
          <w:tcPr>
            <w:tcW w:w="816"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60</w:t>
            </w:r>
          </w:p>
        </w:tc>
        <w:tc>
          <w:tcPr>
            <w:tcW w:w="1192"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1</w:t>
            </w:r>
          </w:p>
        </w:tc>
        <w:tc>
          <w:tcPr>
            <w:tcW w:w="1134"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31</w:t>
            </w:r>
          </w:p>
        </w:tc>
        <w:tc>
          <w:tcPr>
            <w:tcW w:w="1276"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1568</w:t>
            </w:r>
          </w:p>
        </w:tc>
        <w:tc>
          <w:tcPr>
            <w:tcW w:w="1361"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0</w:t>
            </w:r>
          </w:p>
        </w:tc>
        <w:tc>
          <w:tcPr>
            <w:tcW w:w="674"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554</w:t>
            </w:r>
          </w:p>
        </w:tc>
      </w:tr>
      <w:tr>
        <w:tblPrEx>
          <w:tblCellMar>
            <w:top w:w="0" w:type="dxa"/>
            <w:left w:w="108" w:type="dxa"/>
            <w:bottom w:w="0" w:type="dxa"/>
            <w:right w:w="108" w:type="dxa"/>
          </w:tblCellMar>
        </w:tblPrEx>
        <w:trPr>
          <w:jc w:val="center"/>
        </w:trPr>
        <w:tc>
          <w:tcPr>
            <w:tcW w:w="1287"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202</w:t>
            </w:r>
            <w:r>
              <w:rPr>
                <w:rFonts w:hint="default" w:ascii="Times New Roman" w:hAnsi="Times New Roman" w:eastAsia="新宋体" w:cs="Times New Roman"/>
                <w:color w:val="000000"/>
                <w:sz w:val="21"/>
                <w:szCs w:val="21"/>
              </w:rPr>
              <w:t>1</w:t>
            </w:r>
            <w:r>
              <w:rPr>
                <w:rFonts w:hint="default" w:ascii="Times New Roman" w:hAnsi="Times New Roman" w:eastAsia="新宋体" w:cs="Times New Roman"/>
                <w:color w:val="000000"/>
                <w:sz w:val="21"/>
                <w:szCs w:val="21"/>
              </w:rPr>
              <w:t>年</w:t>
            </w:r>
          </w:p>
        </w:tc>
        <w:tc>
          <w:tcPr>
            <w:tcW w:w="782"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100%</w:t>
            </w:r>
          </w:p>
        </w:tc>
        <w:tc>
          <w:tcPr>
            <w:tcW w:w="816"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80</w:t>
            </w:r>
          </w:p>
        </w:tc>
        <w:tc>
          <w:tcPr>
            <w:tcW w:w="1192"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1</w:t>
            </w:r>
          </w:p>
        </w:tc>
        <w:tc>
          <w:tcPr>
            <w:tcW w:w="1134"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31</w:t>
            </w:r>
          </w:p>
        </w:tc>
        <w:tc>
          <w:tcPr>
            <w:tcW w:w="1276"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1223</w:t>
            </w:r>
          </w:p>
        </w:tc>
        <w:tc>
          <w:tcPr>
            <w:tcW w:w="1361"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0</w:t>
            </w:r>
          </w:p>
        </w:tc>
        <w:tc>
          <w:tcPr>
            <w:tcW w:w="674" w:type="dxa"/>
            <w:tcBorders>
              <w:top w:val="single" w:color="auto" w:sz="4" w:space="0"/>
              <w:left w:val="single" w:color="auto" w:sz="4" w:space="0"/>
              <w:bottom w:val="single" w:color="auto" w:sz="4" w:space="0"/>
              <w:right w:val="single" w:color="auto" w:sz="4" w:space="0"/>
            </w:tcBorders>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452</w:t>
            </w:r>
          </w:p>
        </w:tc>
      </w:tr>
    </w:tbl>
    <w:p>
      <w:pPr>
        <w:pStyle w:val="5"/>
        <w:shd w:val="clear" w:color="auto" w:fill="FFFFFF"/>
        <w:spacing w:before="0" w:beforeAutospacing="0" w:after="0" w:afterAutospacing="0" w:line="240" w:lineRule="atLeast"/>
        <w:jc w:val="center"/>
        <w:rPr>
          <w:rFonts w:hint="default" w:ascii="Times New Roman" w:hAnsi="Times New Roman" w:eastAsia="黑体" w:cs="Times New Roman"/>
          <w:b/>
          <w:bCs/>
          <w:color w:val="000000"/>
        </w:rPr>
      </w:pPr>
    </w:p>
    <w:p>
      <w:pPr>
        <w:pStyle w:val="5"/>
        <w:shd w:val="clear" w:color="auto" w:fill="FFFFFF"/>
        <w:spacing w:before="0" w:beforeAutospacing="0" w:after="0" w:afterAutospacing="0" w:line="240" w:lineRule="atLeast"/>
        <w:jc w:val="center"/>
        <w:rPr>
          <w:rFonts w:hint="default" w:ascii="Times New Roman" w:hAnsi="Times New Roman" w:eastAsia="黑体" w:cs="Times New Roman"/>
          <w:b/>
          <w:bCs/>
          <w:color w:val="000000"/>
        </w:rPr>
      </w:pPr>
      <w:r>
        <w:rPr>
          <w:rFonts w:hint="default" w:ascii="Times New Roman" w:hAnsi="Times New Roman" w:eastAsia="黑体" w:cs="Times New Roman"/>
          <w:b/>
          <w:bCs/>
          <w:color w:val="000000"/>
        </w:rPr>
        <w:t>表</w:t>
      </w:r>
      <w:r>
        <w:rPr>
          <w:rFonts w:hint="default" w:ascii="Times New Roman" w:hAnsi="Times New Roman" w:eastAsia="黑体" w:cs="Times New Roman"/>
          <w:b/>
          <w:bCs/>
          <w:color w:val="000000"/>
          <w:lang w:val="en-US" w:eastAsia="zh-CN"/>
        </w:rPr>
        <w:t>2-2</w:t>
      </w:r>
      <w:r>
        <w:rPr>
          <w:rFonts w:hint="default" w:ascii="Times New Roman" w:hAnsi="Times New Roman" w:eastAsia="黑体" w:cs="Times New Roman"/>
          <w:b/>
          <w:bCs/>
          <w:color w:val="000000"/>
        </w:rPr>
        <w:t xml:space="preserve">  </w:t>
      </w:r>
      <w:r>
        <w:rPr>
          <w:rFonts w:hint="default" w:ascii="Times New Roman" w:hAnsi="Times New Roman" w:eastAsia="黑体" w:cs="Times New Roman"/>
          <w:b/>
          <w:bCs/>
          <w:color w:val="000000"/>
        </w:rPr>
        <w:t>学生技能竞赛获奖统计</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gridCol w:w="849"/>
        <w:gridCol w:w="1134"/>
        <w:gridCol w:w="994"/>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0" w:type="dxa"/>
            <w:vMerge w:val="restart"/>
            <w:tcBorders>
              <w:top w:val="single" w:color="auto" w:sz="4" w:space="0"/>
              <w:left w:val="single" w:color="auto" w:sz="4" w:space="0"/>
              <w:bottom w:val="single" w:color="auto" w:sz="4" w:space="0"/>
              <w:right w:val="single" w:color="auto" w:sz="4" w:space="0"/>
            </w:tcBorders>
            <w:shd w:val="clear" w:color="auto" w:fill="BDD6EE"/>
            <w:vAlign w:val="center"/>
          </w:tcPr>
          <w:p>
            <w:pPr>
              <w:pStyle w:val="14"/>
              <w:ind w:firstLine="42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项目</w:t>
            </w:r>
          </w:p>
        </w:tc>
        <w:tc>
          <w:tcPr>
            <w:tcW w:w="849" w:type="dxa"/>
            <w:vMerge w:val="restart"/>
            <w:tcBorders>
              <w:top w:val="single" w:color="auto" w:sz="4" w:space="0"/>
              <w:left w:val="single" w:color="auto" w:sz="4" w:space="0"/>
              <w:bottom w:val="single" w:color="auto" w:sz="4" w:space="0"/>
              <w:right w:val="single" w:color="auto" w:sz="4" w:space="0"/>
            </w:tcBorders>
            <w:shd w:val="clear" w:color="auto" w:fill="BDD6EE"/>
            <w:vAlign w:val="center"/>
          </w:tcPr>
          <w:p>
            <w:pPr>
              <w:pStyle w:val="14"/>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等级</w:t>
            </w:r>
          </w:p>
        </w:tc>
        <w:tc>
          <w:tcPr>
            <w:tcW w:w="3171" w:type="dxa"/>
            <w:gridSpan w:val="3"/>
            <w:tcBorders>
              <w:top w:val="single" w:color="auto" w:sz="4" w:space="0"/>
              <w:left w:val="single" w:color="auto" w:sz="4" w:space="0"/>
              <w:bottom w:val="single" w:color="auto" w:sz="4" w:space="0"/>
              <w:right w:val="single" w:color="auto" w:sz="4" w:space="0"/>
            </w:tcBorders>
            <w:shd w:val="clear" w:color="auto" w:fill="BDD6EE"/>
            <w:vAlign w:val="center"/>
          </w:tcPr>
          <w:p>
            <w:pPr>
              <w:pStyle w:val="14"/>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获奖情况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
                <w:bCs/>
                <w:color w:val="000000"/>
                <w:kern w:val="0"/>
                <w:szCs w:val="21"/>
              </w:rPr>
            </w:pPr>
          </w:p>
        </w:tc>
        <w:tc>
          <w:tcPr>
            <w:tcW w:w="84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
                <w:bCs/>
                <w:color w:val="000000"/>
                <w:kern w:val="0"/>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BDD6EE"/>
            <w:vAlign w:val="center"/>
          </w:tcPr>
          <w:p>
            <w:pPr>
              <w:pStyle w:val="14"/>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一等奖</w:t>
            </w:r>
          </w:p>
        </w:tc>
        <w:tc>
          <w:tcPr>
            <w:tcW w:w="994" w:type="dxa"/>
            <w:tcBorders>
              <w:top w:val="single" w:color="auto" w:sz="4" w:space="0"/>
              <w:left w:val="single" w:color="auto" w:sz="4" w:space="0"/>
              <w:bottom w:val="single" w:color="auto" w:sz="4" w:space="0"/>
              <w:right w:val="single" w:color="auto" w:sz="4" w:space="0"/>
            </w:tcBorders>
            <w:shd w:val="clear" w:color="auto" w:fill="BDD6EE"/>
            <w:vAlign w:val="center"/>
          </w:tcPr>
          <w:p>
            <w:pPr>
              <w:pStyle w:val="14"/>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二等奖</w:t>
            </w:r>
          </w:p>
        </w:tc>
        <w:tc>
          <w:tcPr>
            <w:tcW w:w="1043" w:type="dxa"/>
            <w:tcBorders>
              <w:top w:val="single" w:color="auto" w:sz="4" w:space="0"/>
              <w:left w:val="single" w:color="auto" w:sz="4" w:space="0"/>
              <w:bottom w:val="single" w:color="auto" w:sz="4" w:space="0"/>
              <w:right w:val="single" w:color="auto" w:sz="4" w:space="0"/>
            </w:tcBorders>
            <w:shd w:val="clear" w:color="auto" w:fill="BDD6EE"/>
            <w:vAlign w:val="center"/>
          </w:tcPr>
          <w:p>
            <w:pPr>
              <w:pStyle w:val="14"/>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2</w:t>
            </w:r>
            <w:r>
              <w:rPr>
                <w:rFonts w:hint="default" w:ascii="Times New Roman" w:hAnsi="Times New Roman" w:cs="Times New Roman"/>
                <w:b/>
                <w:bCs/>
                <w:color w:val="000000"/>
                <w:kern w:val="0"/>
                <w:sz w:val="21"/>
                <w:szCs w:val="21"/>
              </w:rPr>
              <w:t>021</w:t>
            </w:r>
            <w:r>
              <w:rPr>
                <w:rFonts w:hint="default" w:ascii="Times New Roman" w:hAnsi="Times New Roman" w:cs="Times New Roman"/>
                <w:b/>
                <w:bCs/>
                <w:color w:val="000000"/>
                <w:kern w:val="0"/>
                <w:sz w:val="21"/>
                <w:szCs w:val="21"/>
              </w:rPr>
              <w:t>年度德阳市学生信息素养提升实践活动</w:t>
            </w:r>
          </w:p>
        </w:tc>
        <w:tc>
          <w:tcPr>
            <w:tcW w:w="8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市级</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1</w:t>
            </w: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2</w:t>
            </w:r>
          </w:p>
        </w:tc>
        <w:tc>
          <w:tcPr>
            <w:tcW w:w="10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tabs>
                <w:tab w:val="left" w:pos="710"/>
              </w:tabs>
              <w:ind w:firstLine="422" w:firstLineChars="200"/>
              <w:jc w:val="left"/>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德阳市第十一届中小学生艺术展演活动</w:t>
            </w:r>
          </w:p>
        </w:tc>
        <w:tc>
          <w:tcPr>
            <w:tcW w:w="8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市级</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p>
        </w:tc>
        <w:tc>
          <w:tcPr>
            <w:tcW w:w="10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四川省2</w:t>
            </w:r>
            <w:r>
              <w:rPr>
                <w:rFonts w:hint="default" w:ascii="Times New Roman" w:hAnsi="Times New Roman" w:cs="Times New Roman"/>
                <w:b/>
                <w:bCs/>
                <w:color w:val="000000"/>
                <w:kern w:val="0"/>
                <w:sz w:val="21"/>
                <w:szCs w:val="21"/>
              </w:rPr>
              <w:t>021</w:t>
            </w:r>
            <w:r>
              <w:rPr>
                <w:rFonts w:hint="default" w:ascii="Times New Roman" w:hAnsi="Times New Roman" w:cs="Times New Roman"/>
                <w:b/>
                <w:bCs/>
                <w:color w:val="000000"/>
                <w:kern w:val="0"/>
                <w:sz w:val="21"/>
                <w:szCs w:val="21"/>
              </w:rPr>
              <w:t>年中等职业学校学生技能大赛（单片机）</w:t>
            </w:r>
          </w:p>
        </w:tc>
        <w:tc>
          <w:tcPr>
            <w:tcW w:w="8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省级</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p>
        </w:tc>
        <w:tc>
          <w:tcPr>
            <w:tcW w:w="10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四川省2</w:t>
            </w:r>
            <w:r>
              <w:rPr>
                <w:rFonts w:hint="default" w:ascii="Times New Roman" w:hAnsi="Times New Roman" w:cs="Times New Roman"/>
                <w:b/>
                <w:bCs/>
                <w:color w:val="000000"/>
                <w:kern w:val="0"/>
                <w:sz w:val="21"/>
                <w:szCs w:val="21"/>
              </w:rPr>
              <w:t>021</w:t>
            </w:r>
            <w:r>
              <w:rPr>
                <w:rFonts w:hint="default" w:ascii="Times New Roman" w:hAnsi="Times New Roman" w:cs="Times New Roman"/>
                <w:b/>
                <w:bCs/>
                <w:color w:val="000000"/>
                <w:kern w:val="0"/>
                <w:sz w:val="21"/>
                <w:szCs w:val="21"/>
              </w:rPr>
              <w:t>年中等职业学校学生技能大赛（电子商务）</w:t>
            </w:r>
          </w:p>
        </w:tc>
        <w:tc>
          <w:tcPr>
            <w:tcW w:w="84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省级</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p>
        </w:tc>
        <w:tc>
          <w:tcPr>
            <w:tcW w:w="10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
              <w:spacing w:before="0" w:beforeAutospacing="0" w:after="0" w:afterAutospacing="0"/>
              <w:jc w:val="center"/>
              <w:rPr>
                <w:rFonts w:hint="default" w:ascii="Times New Roman" w:hAnsi="Times New Roman" w:eastAsia="新宋体" w:cs="Times New Roman"/>
                <w:color w:val="000000"/>
                <w:sz w:val="21"/>
                <w:szCs w:val="21"/>
              </w:rPr>
            </w:pPr>
            <w:r>
              <w:rPr>
                <w:rFonts w:hint="default" w:ascii="Times New Roman" w:hAnsi="Times New Roman" w:eastAsia="新宋体" w:cs="Times New Roman"/>
                <w:color w:val="000000"/>
                <w:sz w:val="21"/>
                <w:szCs w:val="21"/>
              </w:rPr>
              <w:t>4</w:t>
            </w:r>
          </w:p>
        </w:tc>
      </w:tr>
    </w:tbl>
    <w:p>
      <w:pPr>
        <w:spacing w:line="360" w:lineRule="auto"/>
        <w:ind w:firstLine="6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2.2在校体验。</w:t>
      </w:r>
    </w:p>
    <w:p>
      <w:pPr>
        <w:spacing w:line="360" w:lineRule="auto"/>
        <w:ind w:firstLine="6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学校通过召开学生代表座谈会，问卷调查和访谈等形式，及时征集学生的理论学习满意度、专业学习满意度、实习实训满意度、校园文化与社团活动满意度、生活满意度、校园安全满意度等，让学生对学校的教育教学、后勤服务、教学环境、业余生活等方面提出意见和建议，不断改进学校的管理和服务，学校管理规范有序，工作成效明显，学生各项满意率均在 80%以上。</w:t>
      </w:r>
    </w:p>
    <w:p>
      <w:pPr>
        <w:spacing w:line="360" w:lineRule="auto"/>
        <w:ind w:firstLine="600"/>
        <w:rPr>
          <w:rFonts w:hint="eastAsia" w:eastAsia="仿宋_GB2312" w:cs="Times New Roman"/>
          <w:sz w:val="32"/>
          <w:szCs w:val="32"/>
          <w:lang w:val="en-US" w:eastAsia="zh-CN"/>
        </w:rPr>
      </w:pPr>
      <w:r>
        <w:rPr>
          <w:rFonts w:hint="eastAsia" w:eastAsia="仿宋_GB2312" w:cs="Times New Roman"/>
          <w:sz w:val="32"/>
          <w:szCs w:val="32"/>
          <w:lang w:val="en-US" w:eastAsia="zh-CN"/>
        </w:rPr>
        <w:t>2.3 学生资助。</w:t>
      </w:r>
    </w:p>
    <w:p>
      <w:pPr>
        <w:spacing w:line="360" w:lineRule="auto"/>
        <w:ind w:firstLine="600"/>
        <w:rPr>
          <w:rFonts w:hint="default"/>
          <w:lang w:val="en-US" w:eastAsia="zh-CN"/>
        </w:rPr>
      </w:pPr>
      <w:r>
        <w:rPr>
          <w:rFonts w:hint="eastAsia" w:eastAsia="仿宋_GB2312" w:cs="Times New Roman"/>
          <w:sz w:val="32"/>
          <w:szCs w:val="32"/>
          <w:lang w:val="en-US" w:eastAsia="zh-CN"/>
        </w:rPr>
        <w:t>本年度开展学生资助工作以来，我校切实做到及时、全额将经费发放到每一位受助学生手中，无一遗漏。目前，我校一共有全日制中职学生免学费、“9+3”补助、连片山区补助、贫困家庭补助、凉山州外就读补助、建党立卡户补助、贫困生创业补助、国家级奖学金9种形式的资助，我校学生资助工作历来严格按照程序、规则进行操作，以公正、公开、透明为原则，每一笔资金都按时发放到每一名对应身份的学生手中，2021年无一纠纷或者投诉发生，受到了一致好评。</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eastAsia="仿宋_GB2312" w:cs="Times New Roman"/>
          <w:sz w:val="32"/>
          <w:szCs w:val="32"/>
          <w:lang w:val="en-US" w:eastAsia="zh-CN"/>
        </w:rPr>
        <w:t>4</w:t>
      </w:r>
      <w:r>
        <w:rPr>
          <w:rFonts w:hint="default" w:ascii="Times New Roman" w:hAnsi="Times New Roman" w:eastAsia="仿宋_GB2312" w:cs="Times New Roman"/>
          <w:sz w:val="32"/>
          <w:szCs w:val="32"/>
        </w:rPr>
        <w:t>就业质量。</w:t>
      </w:r>
    </w:p>
    <w:p>
      <w:pPr>
        <w:spacing w:line="360" w:lineRule="auto"/>
        <w:ind w:firstLine="6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2021年度，</w:t>
      </w:r>
      <w:r>
        <w:rPr>
          <w:rFonts w:hint="default" w:ascii="Times New Roman" w:hAnsi="Times New Roman" w:eastAsia="仿宋_GB2312" w:cs="Times New Roman"/>
          <w:sz w:val="32"/>
          <w:szCs w:val="32"/>
        </w:rPr>
        <w:t>我校2018级毕业生初次就业率97.12%较去年同期上升1.6%；专业对口就业率91.86%；顶岗实习半年以上稳定率94.66较去年上升2.06%；初次就业平均收入3100元；自主创业率相比去年上升0.1%，就业单位对毕业生职业素养的满意度97%、就业单位对毕业生职业技能的满意度96%，与上一年度相比各上升1%和2%</w:t>
      </w:r>
      <w:r>
        <w:rPr>
          <w:rFonts w:hint="default" w:ascii="Times New Roman" w:hAnsi="Times New Roman" w:eastAsia="仿宋_GB2312" w:cs="Times New Roman"/>
          <w:sz w:val="32"/>
          <w:szCs w:val="32"/>
          <w:lang w:eastAsia="zh-CN"/>
        </w:rPr>
        <w:t>。</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学校高度重视学生顶岗实习工作，健全顶岗实习管理制度。学校在单一的企业“用人”模式上，不断深化校企合作和开展现代学徒制的探索，目前构建“多对多”的校企合作模式，在学校和企业的合作中，采取“多对多”的工学结合运行机制，实现校企合作、工学结合的三重转变，从与单个企业合作到与企业群合作，由简单推荐就业到“订单式”培养，由校企合作到校企合一，强化校企合作、工学结合的“三位一体”的过程管理；学校一贯重视培养学生的创业意识、创业精神、创新思维和创业能力，坚持不懈地开展创业教育，鼓励学生积极参与自主创业，不但重视创新创业课程的教学，营造良好的创业氛围，给学生提供创业实践的舞台，为今后的发展开辟更多更广的天地；学校不断通过教学模式改革和课堂教学改革，为学生创造良好的学习环境，不断提高学生求知、做事和发展的能力，树立终身学习的理念。</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我校学生实习就业管理工作更加严谨，在实习组织、过程管理、实习考核、安全管理各阶段严格执行</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教育部等五部门关于印发&lt;职业学校学生实习管理规定&gt;的通知》和《四川省教育厅</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关于严格贯彻执行&lt;职业学校学生实习管理规定&gt;的通知》文件规定，跟踪管理落实到位</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学生服从学校和用人单位管理</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通过实习</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学生把理论知识与实习实践相结合，学生的能力和技能成长较大，荣得了学生家长、学生本人的点赞</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学生的表现也获得了用人单位的好评。我校实习就业工作由规模型向质量型转换。</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eastAsia="仿宋_GB2312" w:cs="Times New Roman"/>
          <w:sz w:val="32"/>
          <w:szCs w:val="32"/>
          <w:lang w:val="en-US" w:eastAsia="zh-CN"/>
        </w:rPr>
        <w:t>5</w:t>
      </w:r>
      <w:r>
        <w:rPr>
          <w:rFonts w:hint="default" w:ascii="Times New Roman" w:hAnsi="Times New Roman" w:eastAsia="仿宋_GB2312" w:cs="Times New Roman"/>
          <w:sz w:val="32"/>
          <w:szCs w:val="32"/>
        </w:rPr>
        <w:t>升学情况：</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本年度职教高考升学人数38人、通过对口单独招生升学人数51</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人、通过中高贯通升学人数79人、升入高职高专院校人数639人、其他升学人数11人，高考统招升学学生数占毕业生总数的比例相比较去年同期74.94 %上升6.46%，毕业生升学质量得到了</w:t>
      </w:r>
      <w:r>
        <w:rPr>
          <w:rFonts w:hint="default" w:ascii="Times New Roman" w:hAnsi="Times New Roman" w:eastAsia="仿宋_GB2312" w:cs="Times New Roman"/>
          <w:sz w:val="32"/>
          <w:szCs w:val="32"/>
          <w:lang w:val="en-US" w:eastAsia="zh-CN"/>
        </w:rPr>
        <w:t>显著</w:t>
      </w:r>
      <w:r>
        <w:rPr>
          <w:rFonts w:hint="default" w:ascii="Times New Roman" w:hAnsi="Times New Roman" w:eastAsia="仿宋_GB2312" w:cs="Times New Roman"/>
          <w:sz w:val="32"/>
          <w:szCs w:val="32"/>
        </w:rPr>
        <w:t>提升。</w:t>
      </w:r>
    </w:p>
    <w:p>
      <w:pPr>
        <w:pStyle w:val="5"/>
        <w:shd w:val="clear" w:color="auto" w:fill="FFFFFF"/>
        <w:spacing w:before="0" w:beforeAutospacing="0" w:after="0" w:afterAutospacing="0" w:line="240" w:lineRule="atLeast"/>
        <w:jc w:val="center"/>
        <w:rPr>
          <w:rFonts w:hint="default" w:ascii="Times New Roman" w:hAnsi="Times New Roman" w:eastAsia="黑体" w:cs="Times New Roman"/>
          <w:sz w:val="32"/>
          <w:szCs w:val="32"/>
          <w:lang w:val="en-US" w:eastAsia="zh-CN"/>
        </w:rPr>
      </w:pPr>
      <w:r>
        <w:rPr>
          <w:rFonts w:hint="default" w:ascii="Times New Roman" w:hAnsi="Times New Roman" w:eastAsia="黑体" w:cs="Times New Roman"/>
          <w:b/>
          <w:bCs/>
          <w:color w:val="000000"/>
        </w:rPr>
        <w:t>表</w:t>
      </w:r>
      <w:r>
        <w:rPr>
          <w:rFonts w:hint="default" w:ascii="Times New Roman" w:hAnsi="Times New Roman" w:eastAsia="黑体" w:cs="Times New Roman"/>
          <w:b/>
          <w:bCs/>
          <w:color w:val="000000"/>
          <w:lang w:val="en-US" w:eastAsia="zh-CN"/>
        </w:rPr>
        <w:t>2</w:t>
      </w:r>
      <w:r>
        <w:rPr>
          <w:rFonts w:hint="default" w:ascii="Times New Roman" w:hAnsi="Times New Roman" w:eastAsia="黑体" w:cs="Times New Roman"/>
          <w:b/>
          <w:bCs/>
          <w:color w:val="000000"/>
        </w:rPr>
        <w:t>-</w:t>
      </w:r>
      <w:r>
        <w:rPr>
          <w:rFonts w:hint="default" w:ascii="Times New Roman" w:hAnsi="Times New Roman" w:eastAsia="黑体" w:cs="Times New Roman"/>
          <w:b/>
          <w:bCs/>
          <w:color w:val="000000"/>
          <w:lang w:val="en-US" w:eastAsia="zh-CN"/>
        </w:rPr>
        <w:t>1</w:t>
      </w:r>
      <w:r>
        <w:rPr>
          <w:rFonts w:hint="default" w:ascii="Times New Roman" w:hAnsi="Times New Roman" w:eastAsia="黑体" w:cs="Times New Roman"/>
          <w:b/>
          <w:bCs/>
          <w:color w:val="000000"/>
        </w:rPr>
        <w:t xml:space="preserve">  四川省商贸学校</w:t>
      </w:r>
      <w:r>
        <w:rPr>
          <w:rFonts w:hint="default" w:ascii="Times New Roman" w:hAnsi="Times New Roman" w:eastAsia="黑体" w:cs="Times New Roman"/>
          <w:b/>
          <w:bCs/>
          <w:color w:val="000000"/>
          <w:lang w:val="en-US" w:eastAsia="zh-CN"/>
        </w:rPr>
        <w:t>升学情况表</w:t>
      </w:r>
    </w:p>
    <w:tbl>
      <w:tblPr>
        <w:tblStyle w:val="6"/>
        <w:tblW w:w="72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2335"/>
        <w:gridCol w:w="967"/>
        <w:gridCol w:w="1302"/>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62" w:type="dxa"/>
            <w:vMerge w:val="restart"/>
            <w:shd w:val="clear" w:color="auto" w:fill="BDD6EE"/>
            <w:noWrap w:val="0"/>
            <w:vAlign w:val="center"/>
          </w:tcPr>
          <w:p>
            <w:pPr>
              <w:keepNext w:val="0"/>
              <w:keepLines w:val="0"/>
              <w:widowControl/>
              <w:suppressLineNumbers w:val="0"/>
              <w:jc w:val="center"/>
              <w:textAlignment w:val="center"/>
              <w:rPr>
                <w:rFonts w:hint="default" w:ascii="Times New Roman" w:hAnsi="Times New Roman" w:eastAsia="新宋体" w:cs="Times New Roman"/>
                <w:color w:val="000000"/>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2335" w:type="dxa"/>
            <w:vMerge w:val="restart"/>
            <w:shd w:val="clear" w:color="auto" w:fill="BDD6EE"/>
            <w:noWrap w:val="0"/>
            <w:vAlign w:val="center"/>
          </w:tcPr>
          <w:p>
            <w:pPr>
              <w:keepNext w:val="0"/>
              <w:keepLines w:val="0"/>
              <w:widowControl/>
              <w:suppressLineNumbers w:val="0"/>
              <w:jc w:val="center"/>
              <w:textAlignment w:val="center"/>
              <w:rPr>
                <w:rFonts w:hint="default" w:ascii="Times New Roman" w:hAnsi="Times New Roman" w:eastAsia="新宋体" w:cs="Times New Roman"/>
                <w:color w:val="000000"/>
              </w:rPr>
            </w:pPr>
            <w:r>
              <w:rPr>
                <w:rFonts w:hint="default" w:ascii="Times New Roman" w:hAnsi="Times New Roman" w:eastAsia="宋体" w:cs="Times New Roman"/>
                <w:b/>
                <w:bCs/>
                <w:i w:val="0"/>
                <w:iCs w:val="0"/>
                <w:color w:val="000000"/>
                <w:kern w:val="0"/>
                <w:sz w:val="21"/>
                <w:szCs w:val="21"/>
                <w:u w:val="none"/>
                <w:lang w:val="en-US" w:eastAsia="zh-CN" w:bidi="ar"/>
              </w:rPr>
              <w:t>指标</w:t>
            </w:r>
          </w:p>
        </w:tc>
        <w:tc>
          <w:tcPr>
            <w:tcW w:w="967" w:type="dxa"/>
            <w:vMerge w:val="restart"/>
            <w:shd w:val="clear" w:color="auto" w:fill="BDD6EE"/>
            <w:noWrap w:val="0"/>
            <w:vAlign w:val="center"/>
          </w:tcPr>
          <w:p>
            <w:pPr>
              <w:keepNext w:val="0"/>
              <w:keepLines w:val="0"/>
              <w:widowControl/>
              <w:suppressLineNumbers w:val="0"/>
              <w:jc w:val="center"/>
              <w:textAlignment w:val="center"/>
              <w:rPr>
                <w:rFonts w:hint="default" w:ascii="Times New Roman" w:hAnsi="Times New Roman" w:eastAsia="新宋体" w:cs="Times New Roman"/>
                <w:color w:val="000000"/>
              </w:rPr>
            </w:pPr>
            <w:r>
              <w:rPr>
                <w:rFonts w:hint="default" w:ascii="Times New Roman" w:hAnsi="Times New Roman" w:eastAsia="宋体" w:cs="Times New Roman"/>
                <w:b/>
                <w:bCs/>
                <w:i w:val="0"/>
                <w:iCs w:val="0"/>
                <w:color w:val="000000"/>
                <w:kern w:val="0"/>
                <w:sz w:val="21"/>
                <w:szCs w:val="21"/>
                <w:u w:val="none"/>
                <w:lang w:val="en-US" w:eastAsia="zh-CN" w:bidi="ar"/>
              </w:rPr>
              <w:t>单位</w:t>
            </w:r>
          </w:p>
        </w:tc>
        <w:tc>
          <w:tcPr>
            <w:tcW w:w="1302" w:type="dxa"/>
            <w:vMerge w:val="restart"/>
            <w:shd w:val="clear" w:color="auto" w:fill="BDD6EE"/>
            <w:noWrap w:val="0"/>
            <w:vAlign w:val="center"/>
          </w:tcPr>
          <w:p>
            <w:pPr>
              <w:keepNext w:val="0"/>
              <w:keepLines w:val="0"/>
              <w:widowControl/>
              <w:suppressLineNumbers w:val="0"/>
              <w:jc w:val="center"/>
              <w:textAlignment w:val="center"/>
              <w:rPr>
                <w:rFonts w:hint="default" w:ascii="Times New Roman" w:hAnsi="Times New Roman" w:eastAsia="新宋体" w:cs="Times New Roman"/>
                <w:color w:val="000000"/>
                <w:kern w:val="0"/>
              </w:rPr>
            </w:pPr>
            <w:r>
              <w:rPr>
                <w:rStyle w:val="12"/>
                <w:rFonts w:hint="default" w:ascii="Times New Roman" w:hAnsi="Times New Roman" w:eastAsia="等线" w:cs="Times New Roman"/>
                <w:lang w:val="en-US" w:eastAsia="zh-CN" w:bidi="ar"/>
              </w:rPr>
              <w:t>2020</w:t>
            </w:r>
            <w:r>
              <w:rPr>
                <w:rStyle w:val="13"/>
                <w:rFonts w:hint="default" w:ascii="Times New Roman" w:hAnsi="Times New Roman" w:cs="Times New Roman"/>
                <w:lang w:val="en-US" w:eastAsia="zh-CN" w:bidi="ar"/>
              </w:rPr>
              <w:t>年</w:t>
            </w:r>
          </w:p>
        </w:tc>
        <w:tc>
          <w:tcPr>
            <w:tcW w:w="1496" w:type="dxa"/>
            <w:vMerge w:val="restart"/>
            <w:shd w:val="clear" w:color="auto" w:fill="BDD6EE"/>
            <w:noWrap w:val="0"/>
            <w:vAlign w:val="center"/>
          </w:tcPr>
          <w:p>
            <w:pPr>
              <w:keepNext w:val="0"/>
              <w:keepLines w:val="0"/>
              <w:widowControl/>
              <w:suppressLineNumbers w:val="0"/>
              <w:jc w:val="center"/>
              <w:textAlignment w:val="center"/>
              <w:rPr>
                <w:rStyle w:val="12"/>
                <w:rFonts w:hint="default" w:ascii="Times New Roman" w:hAnsi="Times New Roman" w:eastAsia="等线" w:cs="Times New Roman"/>
                <w:lang w:val="en-US" w:eastAsia="zh-CN" w:bidi="ar"/>
              </w:rPr>
            </w:pPr>
            <w:r>
              <w:rPr>
                <w:rStyle w:val="12"/>
                <w:rFonts w:hint="default" w:ascii="Times New Roman" w:hAnsi="Times New Roman" w:eastAsia="等线" w:cs="Times New Roman"/>
                <w:lang w:val="en-US" w:eastAsia="zh-CN" w:bidi="ar"/>
              </w:rPr>
              <w:t>2021年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62" w:type="dxa"/>
            <w:vMerge w:val="continue"/>
            <w:shd w:val="clear" w:color="auto" w:fill="BDD6EE"/>
            <w:noWrap w:val="0"/>
            <w:vAlign w:val="center"/>
          </w:tcPr>
          <w:p>
            <w:pPr>
              <w:jc w:val="center"/>
              <w:rPr>
                <w:rFonts w:hint="default" w:ascii="Times New Roman" w:hAnsi="Times New Roman" w:eastAsia="新宋体" w:cs="Times New Roman"/>
                <w:color w:val="000000"/>
              </w:rPr>
            </w:pPr>
          </w:p>
        </w:tc>
        <w:tc>
          <w:tcPr>
            <w:tcW w:w="2335" w:type="dxa"/>
            <w:vMerge w:val="continue"/>
            <w:shd w:val="clear" w:color="auto" w:fill="BDD6EE"/>
            <w:noWrap w:val="0"/>
            <w:vAlign w:val="center"/>
          </w:tcPr>
          <w:p>
            <w:pPr>
              <w:jc w:val="center"/>
              <w:rPr>
                <w:rFonts w:hint="default" w:ascii="Times New Roman" w:hAnsi="Times New Roman" w:eastAsia="新宋体" w:cs="Times New Roman"/>
                <w:color w:val="000000"/>
              </w:rPr>
            </w:pPr>
          </w:p>
        </w:tc>
        <w:tc>
          <w:tcPr>
            <w:tcW w:w="967" w:type="dxa"/>
            <w:vMerge w:val="continue"/>
            <w:shd w:val="clear" w:color="auto" w:fill="BDD6EE"/>
            <w:noWrap w:val="0"/>
            <w:vAlign w:val="center"/>
          </w:tcPr>
          <w:p>
            <w:pPr>
              <w:jc w:val="center"/>
              <w:rPr>
                <w:rFonts w:hint="default" w:ascii="Times New Roman" w:hAnsi="Times New Roman" w:eastAsia="新宋体" w:cs="Times New Roman"/>
                <w:color w:val="000000"/>
              </w:rPr>
            </w:pPr>
          </w:p>
        </w:tc>
        <w:tc>
          <w:tcPr>
            <w:tcW w:w="1302" w:type="dxa"/>
            <w:vMerge w:val="continue"/>
            <w:shd w:val="clear" w:color="auto" w:fill="BDD6EE"/>
            <w:noWrap w:val="0"/>
            <w:vAlign w:val="center"/>
          </w:tcPr>
          <w:p>
            <w:pPr>
              <w:jc w:val="center"/>
              <w:rPr>
                <w:rFonts w:hint="default" w:ascii="Times New Roman" w:hAnsi="Times New Roman" w:eastAsia="新宋体" w:cs="Times New Roman"/>
                <w:color w:val="000000"/>
                <w:kern w:val="0"/>
              </w:rPr>
            </w:pPr>
          </w:p>
        </w:tc>
        <w:tc>
          <w:tcPr>
            <w:tcW w:w="1496" w:type="dxa"/>
            <w:vMerge w:val="continue"/>
            <w:shd w:val="clear" w:color="auto" w:fill="BDD6EE"/>
            <w:noWrap w:val="0"/>
            <w:vAlign w:val="center"/>
          </w:tcPr>
          <w:p>
            <w:pPr>
              <w:jc w:val="center"/>
              <w:rPr>
                <w:rFonts w:hint="default" w:ascii="Times New Roman" w:hAnsi="Times New Roman" w:eastAsia="新宋体" w:cs="Times New Roman"/>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noWrap w:val="0"/>
            <w:vAlign w:val="center"/>
          </w:tcPr>
          <w:p>
            <w:pPr>
              <w:keepNext w:val="0"/>
              <w:keepLines w:val="0"/>
              <w:widowControl/>
              <w:suppressLineNumbers w:val="0"/>
              <w:jc w:val="center"/>
              <w:textAlignment w:val="center"/>
              <w:rPr>
                <w:rFonts w:hint="default" w:ascii="Times New Roman" w:hAnsi="Times New Roman" w:eastAsia="新宋体" w:cs="Times New Roman"/>
                <w:color w:val="000000"/>
              </w:rPr>
            </w:pPr>
            <w:r>
              <w:rPr>
                <w:rFonts w:hint="default" w:ascii="Times New Roman" w:hAnsi="Times New Roman" w:eastAsia="等线" w:cs="Times New Roman"/>
                <w:b/>
                <w:bCs/>
                <w:i w:val="0"/>
                <w:iCs w:val="0"/>
                <w:color w:val="000000"/>
                <w:kern w:val="0"/>
                <w:sz w:val="21"/>
                <w:szCs w:val="21"/>
                <w:u w:val="none"/>
                <w:lang w:val="en-US" w:eastAsia="zh-CN" w:bidi="ar"/>
              </w:rPr>
              <w:t>1</w:t>
            </w:r>
          </w:p>
        </w:tc>
        <w:tc>
          <w:tcPr>
            <w:tcW w:w="2335"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rPr>
            </w:pPr>
            <w:r>
              <w:rPr>
                <w:rFonts w:hint="default" w:ascii="Times New Roman" w:hAnsi="Times New Roman" w:eastAsia="宋体" w:cs="Times New Roman"/>
                <w:i w:val="0"/>
                <w:iCs w:val="0"/>
                <w:color w:val="000000"/>
                <w:kern w:val="0"/>
                <w:sz w:val="21"/>
                <w:szCs w:val="21"/>
                <w:u w:val="none"/>
                <w:lang w:val="en-US" w:eastAsia="zh-CN" w:bidi="ar"/>
              </w:rPr>
              <w:t>通过职教高考升学人数</w:t>
            </w:r>
          </w:p>
        </w:tc>
        <w:tc>
          <w:tcPr>
            <w:tcW w:w="967" w:type="dxa"/>
            <w:noWrap w:val="0"/>
            <w:vAlign w:val="center"/>
          </w:tcPr>
          <w:p>
            <w:pPr>
              <w:keepNext w:val="0"/>
              <w:keepLines w:val="0"/>
              <w:widowControl/>
              <w:suppressLineNumbers w:val="0"/>
              <w:jc w:val="center"/>
              <w:textAlignment w:val="center"/>
              <w:rPr>
                <w:rFonts w:hint="default" w:ascii="Times New Roman" w:hAnsi="Times New Roman" w:eastAsia="新宋体" w:cs="Times New Roman"/>
                <w:color w:val="000000"/>
              </w:rPr>
            </w:pPr>
            <w:r>
              <w:rPr>
                <w:rFonts w:hint="default" w:ascii="Times New Roman" w:hAnsi="Times New Roman" w:eastAsia="宋体" w:cs="Times New Roman"/>
                <w:i w:val="0"/>
                <w:iCs w:val="0"/>
                <w:color w:val="000000"/>
                <w:kern w:val="0"/>
                <w:sz w:val="21"/>
                <w:szCs w:val="21"/>
                <w:u w:val="none"/>
                <w:lang w:val="en-US" w:eastAsia="zh-CN" w:bidi="ar"/>
              </w:rPr>
              <w:t>人</w:t>
            </w:r>
          </w:p>
        </w:tc>
        <w:tc>
          <w:tcPr>
            <w:tcW w:w="1302"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rPr>
            </w:pPr>
            <w:r>
              <w:rPr>
                <w:rFonts w:hint="default" w:ascii="Times New Roman" w:hAnsi="Times New Roman" w:eastAsia="等线" w:cs="Times New Roman"/>
                <w:i w:val="0"/>
                <w:iCs w:val="0"/>
                <w:color w:val="000000"/>
                <w:kern w:val="0"/>
                <w:sz w:val="24"/>
                <w:szCs w:val="24"/>
                <w:u w:val="none"/>
                <w:lang w:val="en-US" w:eastAsia="zh-CN" w:bidi="ar"/>
              </w:rPr>
              <w:t>48</w:t>
            </w:r>
          </w:p>
        </w:tc>
        <w:tc>
          <w:tcPr>
            <w:tcW w:w="1496"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rPr>
            </w:pPr>
            <w:r>
              <w:rPr>
                <w:rFonts w:hint="default" w:ascii="Times New Roman" w:hAnsi="Times New Roman" w:eastAsia="等线" w:cs="Times New Roman"/>
                <w:i w:val="0"/>
                <w:iCs w:val="0"/>
                <w:color w:val="000000"/>
                <w:kern w:val="0"/>
                <w:sz w:val="24"/>
                <w:szCs w:val="24"/>
                <w:u w:val="none"/>
                <w:lang w:val="en-US" w:eastAsia="zh-CN" w:bidi="ar"/>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noWrap w:val="0"/>
            <w:vAlign w:val="center"/>
          </w:tcPr>
          <w:p>
            <w:pPr>
              <w:keepNext w:val="0"/>
              <w:keepLines w:val="0"/>
              <w:widowControl/>
              <w:suppressLineNumbers w:val="0"/>
              <w:jc w:val="center"/>
              <w:textAlignment w:val="center"/>
              <w:rPr>
                <w:rFonts w:hint="default" w:ascii="Times New Roman" w:hAnsi="Times New Roman" w:eastAsia="新宋体" w:cs="Times New Roman"/>
                <w:color w:val="000000"/>
              </w:rPr>
            </w:pPr>
            <w:r>
              <w:rPr>
                <w:rFonts w:hint="default" w:ascii="Times New Roman" w:hAnsi="Times New Roman" w:eastAsia="等线" w:cs="Times New Roman"/>
                <w:b/>
                <w:bCs/>
                <w:i w:val="0"/>
                <w:iCs w:val="0"/>
                <w:color w:val="000000"/>
                <w:kern w:val="0"/>
                <w:sz w:val="21"/>
                <w:szCs w:val="21"/>
                <w:u w:val="none"/>
                <w:lang w:val="en-US" w:eastAsia="zh-CN" w:bidi="ar"/>
              </w:rPr>
              <w:t>2</w:t>
            </w:r>
          </w:p>
        </w:tc>
        <w:tc>
          <w:tcPr>
            <w:tcW w:w="2335"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rPr>
            </w:pPr>
            <w:r>
              <w:rPr>
                <w:rFonts w:hint="default" w:ascii="Times New Roman" w:hAnsi="Times New Roman" w:eastAsia="宋体" w:cs="Times New Roman"/>
                <w:i w:val="0"/>
                <w:iCs w:val="0"/>
                <w:color w:val="000000"/>
                <w:kern w:val="0"/>
                <w:sz w:val="21"/>
                <w:szCs w:val="21"/>
                <w:u w:val="none"/>
                <w:lang w:val="en-US" w:eastAsia="zh-CN" w:bidi="ar"/>
              </w:rPr>
              <w:t>通过对口单招升学人数</w:t>
            </w:r>
          </w:p>
        </w:tc>
        <w:tc>
          <w:tcPr>
            <w:tcW w:w="967" w:type="dxa"/>
            <w:noWrap w:val="0"/>
            <w:vAlign w:val="center"/>
          </w:tcPr>
          <w:p>
            <w:pPr>
              <w:keepNext w:val="0"/>
              <w:keepLines w:val="0"/>
              <w:widowControl/>
              <w:suppressLineNumbers w:val="0"/>
              <w:jc w:val="center"/>
              <w:textAlignment w:val="center"/>
              <w:rPr>
                <w:rFonts w:hint="default" w:ascii="Times New Roman" w:hAnsi="Times New Roman" w:eastAsia="新宋体" w:cs="Times New Roman"/>
                <w:color w:val="000000"/>
              </w:rPr>
            </w:pPr>
            <w:r>
              <w:rPr>
                <w:rFonts w:hint="default" w:ascii="Times New Roman" w:hAnsi="Times New Roman" w:eastAsia="宋体" w:cs="Times New Roman"/>
                <w:i w:val="0"/>
                <w:iCs w:val="0"/>
                <w:color w:val="000000"/>
                <w:kern w:val="0"/>
                <w:sz w:val="21"/>
                <w:szCs w:val="21"/>
                <w:u w:val="none"/>
                <w:lang w:val="en-US" w:eastAsia="zh-CN" w:bidi="ar"/>
              </w:rPr>
              <w:t>人</w:t>
            </w:r>
          </w:p>
        </w:tc>
        <w:tc>
          <w:tcPr>
            <w:tcW w:w="1302"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szCs w:val="21"/>
              </w:rPr>
            </w:pPr>
            <w:r>
              <w:rPr>
                <w:rFonts w:hint="default" w:ascii="Times New Roman" w:hAnsi="Times New Roman" w:eastAsia="等线" w:cs="Times New Roman"/>
                <w:i w:val="0"/>
                <w:iCs w:val="0"/>
                <w:color w:val="000000"/>
                <w:kern w:val="0"/>
                <w:sz w:val="24"/>
                <w:szCs w:val="24"/>
                <w:u w:val="none"/>
                <w:lang w:val="en-US" w:eastAsia="zh-CN" w:bidi="ar"/>
              </w:rPr>
              <w:t>291</w:t>
            </w:r>
          </w:p>
        </w:tc>
        <w:tc>
          <w:tcPr>
            <w:tcW w:w="1496"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szCs w:val="21"/>
              </w:rPr>
            </w:pPr>
            <w:r>
              <w:rPr>
                <w:rFonts w:hint="default" w:ascii="Times New Roman" w:hAnsi="Times New Roman" w:eastAsia="等线" w:cs="Times New Roman"/>
                <w:i w:val="0"/>
                <w:iCs w:val="0"/>
                <w:color w:val="000000"/>
                <w:kern w:val="0"/>
                <w:sz w:val="24"/>
                <w:szCs w:val="24"/>
                <w:u w:val="none"/>
                <w:lang w:val="en-US" w:eastAsia="zh-CN" w:bidi="ar"/>
              </w:rPr>
              <w:t>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noWrap w:val="0"/>
            <w:vAlign w:val="center"/>
          </w:tcPr>
          <w:p>
            <w:pPr>
              <w:keepNext w:val="0"/>
              <w:keepLines w:val="0"/>
              <w:widowControl/>
              <w:suppressLineNumbers w:val="0"/>
              <w:jc w:val="center"/>
              <w:textAlignment w:val="center"/>
              <w:rPr>
                <w:rFonts w:hint="default" w:ascii="Times New Roman" w:hAnsi="Times New Roman" w:eastAsia="新宋体" w:cs="Times New Roman"/>
                <w:color w:val="000000"/>
              </w:rPr>
            </w:pPr>
            <w:r>
              <w:rPr>
                <w:rFonts w:hint="default" w:ascii="Times New Roman" w:hAnsi="Times New Roman" w:eastAsia="等线" w:cs="Times New Roman"/>
                <w:b/>
                <w:bCs/>
                <w:i w:val="0"/>
                <w:iCs w:val="0"/>
                <w:color w:val="000000"/>
                <w:kern w:val="0"/>
                <w:sz w:val="21"/>
                <w:szCs w:val="21"/>
                <w:u w:val="none"/>
                <w:lang w:val="en-US" w:eastAsia="zh-CN" w:bidi="ar"/>
              </w:rPr>
              <w:t>3</w:t>
            </w:r>
          </w:p>
        </w:tc>
        <w:tc>
          <w:tcPr>
            <w:tcW w:w="2335"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kern w:val="0"/>
              </w:rPr>
            </w:pPr>
            <w:r>
              <w:rPr>
                <w:rFonts w:hint="default" w:ascii="Times New Roman" w:hAnsi="Times New Roman" w:eastAsia="宋体" w:cs="Times New Roman"/>
                <w:i w:val="0"/>
                <w:iCs w:val="0"/>
                <w:color w:val="000000"/>
                <w:kern w:val="0"/>
                <w:sz w:val="21"/>
                <w:szCs w:val="21"/>
                <w:u w:val="none"/>
                <w:lang w:val="en-US" w:eastAsia="zh-CN" w:bidi="ar"/>
              </w:rPr>
              <w:t>通过中本贯通升学人数</w:t>
            </w:r>
          </w:p>
        </w:tc>
        <w:tc>
          <w:tcPr>
            <w:tcW w:w="967" w:type="dxa"/>
            <w:noWrap w:val="0"/>
            <w:vAlign w:val="center"/>
          </w:tcPr>
          <w:p>
            <w:pPr>
              <w:keepNext w:val="0"/>
              <w:keepLines w:val="0"/>
              <w:widowControl/>
              <w:suppressLineNumbers w:val="0"/>
              <w:jc w:val="center"/>
              <w:textAlignment w:val="center"/>
              <w:rPr>
                <w:rFonts w:hint="default" w:ascii="Times New Roman" w:hAnsi="Times New Roman" w:eastAsia="新宋体" w:cs="Times New Roman"/>
                <w:color w:val="000000"/>
              </w:rPr>
            </w:pPr>
            <w:r>
              <w:rPr>
                <w:rFonts w:hint="default" w:ascii="Times New Roman" w:hAnsi="Times New Roman" w:eastAsia="宋体" w:cs="Times New Roman"/>
                <w:i w:val="0"/>
                <w:iCs w:val="0"/>
                <w:color w:val="000000"/>
                <w:kern w:val="0"/>
                <w:sz w:val="21"/>
                <w:szCs w:val="21"/>
                <w:u w:val="none"/>
                <w:lang w:val="en-US" w:eastAsia="zh-CN" w:bidi="ar"/>
              </w:rPr>
              <w:t>人</w:t>
            </w:r>
          </w:p>
        </w:tc>
        <w:tc>
          <w:tcPr>
            <w:tcW w:w="1302"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szCs w:val="21"/>
              </w:rPr>
            </w:pPr>
            <w:r>
              <w:rPr>
                <w:rFonts w:hint="default" w:ascii="Times New Roman" w:hAnsi="Times New Roman" w:eastAsia="等线" w:cs="Times New Roman"/>
                <w:i w:val="0"/>
                <w:iCs w:val="0"/>
                <w:color w:val="000000"/>
                <w:kern w:val="0"/>
                <w:sz w:val="24"/>
                <w:szCs w:val="24"/>
                <w:u w:val="none"/>
                <w:lang w:val="en-US" w:eastAsia="zh-CN" w:bidi="ar"/>
              </w:rPr>
              <w:t>0</w:t>
            </w:r>
          </w:p>
        </w:tc>
        <w:tc>
          <w:tcPr>
            <w:tcW w:w="1496"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szCs w:val="21"/>
              </w:rPr>
            </w:pPr>
            <w:r>
              <w:rPr>
                <w:rFonts w:hint="default" w:ascii="Times New Roman" w:hAnsi="Times New Roman" w:eastAsia="等线" w:cs="Times New Roman"/>
                <w:i w:val="0"/>
                <w:iCs w:val="0"/>
                <w:color w:val="000000"/>
                <w:kern w:val="0"/>
                <w:sz w:val="24"/>
                <w:szCs w:val="24"/>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noWrap w:val="0"/>
            <w:vAlign w:val="center"/>
          </w:tcPr>
          <w:p>
            <w:pPr>
              <w:keepNext w:val="0"/>
              <w:keepLines w:val="0"/>
              <w:widowControl/>
              <w:suppressLineNumbers w:val="0"/>
              <w:jc w:val="center"/>
              <w:textAlignment w:val="center"/>
              <w:rPr>
                <w:rFonts w:hint="default" w:ascii="Times New Roman" w:hAnsi="Times New Roman" w:eastAsia="新宋体" w:cs="Times New Roman"/>
                <w:color w:val="000000"/>
              </w:rPr>
            </w:pPr>
            <w:r>
              <w:rPr>
                <w:rFonts w:hint="default" w:ascii="Times New Roman" w:hAnsi="Times New Roman" w:eastAsia="等线" w:cs="Times New Roman"/>
                <w:b/>
                <w:bCs/>
                <w:i w:val="0"/>
                <w:iCs w:val="0"/>
                <w:color w:val="000000"/>
                <w:kern w:val="0"/>
                <w:sz w:val="21"/>
                <w:szCs w:val="21"/>
                <w:u w:val="none"/>
                <w:lang w:val="en-US" w:eastAsia="zh-CN" w:bidi="ar"/>
              </w:rPr>
              <w:t>4</w:t>
            </w:r>
          </w:p>
        </w:tc>
        <w:tc>
          <w:tcPr>
            <w:tcW w:w="2335"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rPr>
            </w:pPr>
            <w:r>
              <w:rPr>
                <w:rFonts w:hint="default" w:ascii="Times New Roman" w:hAnsi="Times New Roman" w:eastAsia="宋体" w:cs="Times New Roman"/>
                <w:i w:val="0"/>
                <w:iCs w:val="0"/>
                <w:color w:val="000000"/>
                <w:kern w:val="0"/>
                <w:sz w:val="21"/>
                <w:szCs w:val="21"/>
                <w:u w:val="none"/>
                <w:lang w:val="en-US" w:eastAsia="zh-CN" w:bidi="ar"/>
              </w:rPr>
              <w:t>通过中高贯通升学人数</w:t>
            </w:r>
          </w:p>
        </w:tc>
        <w:tc>
          <w:tcPr>
            <w:tcW w:w="967" w:type="dxa"/>
            <w:noWrap w:val="0"/>
            <w:vAlign w:val="center"/>
          </w:tcPr>
          <w:p>
            <w:pPr>
              <w:keepNext w:val="0"/>
              <w:keepLines w:val="0"/>
              <w:widowControl/>
              <w:suppressLineNumbers w:val="0"/>
              <w:jc w:val="center"/>
              <w:textAlignment w:val="center"/>
              <w:rPr>
                <w:rFonts w:hint="default" w:ascii="Times New Roman" w:hAnsi="Times New Roman" w:eastAsia="新宋体" w:cs="Times New Roman"/>
                <w:color w:val="000000"/>
              </w:rPr>
            </w:pPr>
            <w:r>
              <w:rPr>
                <w:rFonts w:hint="default" w:ascii="Times New Roman" w:hAnsi="Times New Roman" w:eastAsia="宋体" w:cs="Times New Roman"/>
                <w:i w:val="0"/>
                <w:iCs w:val="0"/>
                <w:color w:val="000000"/>
                <w:kern w:val="0"/>
                <w:sz w:val="21"/>
                <w:szCs w:val="21"/>
                <w:u w:val="none"/>
                <w:lang w:val="en-US" w:eastAsia="zh-CN" w:bidi="ar"/>
              </w:rPr>
              <w:t>人</w:t>
            </w:r>
          </w:p>
        </w:tc>
        <w:tc>
          <w:tcPr>
            <w:tcW w:w="1302"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szCs w:val="21"/>
              </w:rPr>
            </w:pPr>
            <w:r>
              <w:rPr>
                <w:rFonts w:hint="default" w:ascii="Times New Roman" w:hAnsi="Times New Roman" w:eastAsia="等线" w:cs="Times New Roman"/>
                <w:i w:val="0"/>
                <w:iCs w:val="0"/>
                <w:color w:val="000000"/>
                <w:kern w:val="0"/>
                <w:sz w:val="24"/>
                <w:szCs w:val="24"/>
                <w:u w:val="none"/>
                <w:lang w:val="en-US" w:eastAsia="zh-CN" w:bidi="ar"/>
              </w:rPr>
              <w:t>108</w:t>
            </w:r>
          </w:p>
        </w:tc>
        <w:tc>
          <w:tcPr>
            <w:tcW w:w="1496"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szCs w:val="21"/>
              </w:rPr>
            </w:pPr>
            <w:r>
              <w:rPr>
                <w:rFonts w:hint="default" w:ascii="Times New Roman" w:hAnsi="Times New Roman" w:eastAsia="等线" w:cs="Times New Roman"/>
                <w:i w:val="0"/>
                <w:iCs w:val="0"/>
                <w:color w:val="000000"/>
                <w:kern w:val="0"/>
                <w:sz w:val="24"/>
                <w:szCs w:val="24"/>
                <w:u w:val="none"/>
                <w:lang w:val="en-US" w:eastAsia="zh-CN" w:bidi="ar"/>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noWrap w:val="0"/>
            <w:vAlign w:val="center"/>
          </w:tcPr>
          <w:p>
            <w:pPr>
              <w:keepNext w:val="0"/>
              <w:keepLines w:val="0"/>
              <w:widowControl/>
              <w:suppressLineNumbers w:val="0"/>
              <w:jc w:val="center"/>
              <w:textAlignment w:val="center"/>
              <w:rPr>
                <w:rFonts w:hint="default" w:ascii="Times New Roman" w:hAnsi="Times New Roman" w:eastAsia="新宋体" w:cs="Times New Roman"/>
                <w:color w:val="000000"/>
              </w:rPr>
            </w:pPr>
            <w:r>
              <w:rPr>
                <w:rFonts w:hint="default" w:ascii="Times New Roman" w:hAnsi="Times New Roman" w:eastAsia="等线" w:cs="Times New Roman"/>
                <w:b/>
                <w:bCs/>
                <w:i w:val="0"/>
                <w:iCs w:val="0"/>
                <w:color w:val="000000"/>
                <w:kern w:val="0"/>
                <w:sz w:val="21"/>
                <w:szCs w:val="21"/>
                <w:u w:val="none"/>
                <w:lang w:val="en-US" w:eastAsia="zh-CN" w:bidi="ar"/>
              </w:rPr>
              <w:t>5</w:t>
            </w:r>
          </w:p>
        </w:tc>
        <w:tc>
          <w:tcPr>
            <w:tcW w:w="2335"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kern w:val="0"/>
              </w:rPr>
            </w:pPr>
            <w:r>
              <w:rPr>
                <w:rFonts w:hint="default" w:ascii="Times New Roman" w:hAnsi="Times New Roman" w:eastAsia="宋体" w:cs="Times New Roman"/>
                <w:i w:val="0"/>
                <w:iCs w:val="0"/>
                <w:color w:val="000000"/>
                <w:kern w:val="0"/>
                <w:sz w:val="21"/>
                <w:szCs w:val="21"/>
                <w:u w:val="none"/>
                <w:lang w:val="en-US" w:eastAsia="zh-CN" w:bidi="ar"/>
              </w:rPr>
              <w:t>通过技能拔尖人才免试升学人数</w:t>
            </w:r>
          </w:p>
        </w:tc>
        <w:tc>
          <w:tcPr>
            <w:tcW w:w="967" w:type="dxa"/>
            <w:noWrap w:val="0"/>
            <w:vAlign w:val="center"/>
          </w:tcPr>
          <w:p>
            <w:pPr>
              <w:keepNext w:val="0"/>
              <w:keepLines w:val="0"/>
              <w:widowControl/>
              <w:suppressLineNumbers w:val="0"/>
              <w:jc w:val="center"/>
              <w:textAlignment w:val="center"/>
              <w:rPr>
                <w:rFonts w:hint="default" w:ascii="Times New Roman" w:hAnsi="Times New Roman" w:eastAsia="新宋体" w:cs="Times New Roman"/>
                <w:color w:val="000000"/>
                <w:kern w:val="0"/>
              </w:rPr>
            </w:pPr>
            <w:r>
              <w:rPr>
                <w:rFonts w:hint="default" w:ascii="Times New Roman" w:hAnsi="Times New Roman" w:eastAsia="宋体" w:cs="Times New Roman"/>
                <w:i w:val="0"/>
                <w:iCs w:val="0"/>
                <w:color w:val="000000"/>
                <w:kern w:val="0"/>
                <w:sz w:val="21"/>
                <w:szCs w:val="21"/>
                <w:u w:val="none"/>
                <w:lang w:val="en-US" w:eastAsia="zh-CN" w:bidi="ar"/>
              </w:rPr>
              <w:t>人</w:t>
            </w:r>
          </w:p>
        </w:tc>
        <w:tc>
          <w:tcPr>
            <w:tcW w:w="1302"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rPr>
            </w:pPr>
            <w:r>
              <w:rPr>
                <w:rFonts w:hint="default" w:ascii="Times New Roman" w:hAnsi="Times New Roman" w:eastAsia="等线" w:cs="Times New Roman"/>
                <w:i w:val="0"/>
                <w:iCs w:val="0"/>
                <w:color w:val="000000"/>
                <w:kern w:val="0"/>
                <w:sz w:val="21"/>
                <w:szCs w:val="21"/>
                <w:u w:val="none"/>
                <w:lang w:val="en-US" w:eastAsia="zh-CN" w:bidi="ar"/>
              </w:rPr>
              <w:t>0</w:t>
            </w:r>
          </w:p>
        </w:tc>
        <w:tc>
          <w:tcPr>
            <w:tcW w:w="1496"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rPr>
            </w:pPr>
            <w:r>
              <w:rPr>
                <w:rFonts w:hint="default" w:ascii="Times New Roman" w:hAnsi="Times New Roman" w:eastAsia="等线" w:cs="Times New Roman"/>
                <w:i w:val="0"/>
                <w:iCs w:val="0"/>
                <w:color w:val="000000"/>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noWrap w:val="0"/>
            <w:vAlign w:val="center"/>
          </w:tcPr>
          <w:p>
            <w:pPr>
              <w:keepNext w:val="0"/>
              <w:keepLines w:val="0"/>
              <w:widowControl/>
              <w:suppressLineNumbers w:val="0"/>
              <w:jc w:val="center"/>
              <w:textAlignment w:val="center"/>
              <w:rPr>
                <w:rFonts w:hint="default" w:ascii="Times New Roman" w:hAnsi="Times New Roman" w:eastAsia="新宋体" w:cs="Times New Roman"/>
                <w:color w:val="000000"/>
              </w:rPr>
            </w:pPr>
            <w:r>
              <w:rPr>
                <w:rFonts w:hint="default" w:ascii="Times New Roman" w:hAnsi="Times New Roman" w:eastAsia="等线" w:cs="Times New Roman"/>
                <w:b/>
                <w:bCs/>
                <w:i w:val="0"/>
                <w:iCs w:val="0"/>
                <w:color w:val="000000"/>
                <w:kern w:val="0"/>
                <w:sz w:val="21"/>
                <w:szCs w:val="21"/>
                <w:u w:val="none"/>
                <w:lang w:val="en-US" w:eastAsia="zh-CN" w:bidi="ar"/>
              </w:rPr>
              <w:t>6</w:t>
            </w:r>
          </w:p>
        </w:tc>
        <w:tc>
          <w:tcPr>
            <w:tcW w:w="2335"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kern w:val="0"/>
              </w:rPr>
            </w:pPr>
            <w:r>
              <w:rPr>
                <w:rFonts w:hint="default" w:ascii="Times New Roman" w:hAnsi="Times New Roman" w:eastAsia="宋体" w:cs="Times New Roman"/>
                <w:i w:val="0"/>
                <w:iCs w:val="0"/>
                <w:color w:val="000000"/>
                <w:kern w:val="0"/>
                <w:sz w:val="21"/>
                <w:szCs w:val="21"/>
                <w:u w:val="none"/>
                <w:lang w:val="en-US" w:eastAsia="zh-CN" w:bidi="ar"/>
              </w:rPr>
              <w:t>升入本科院校人数</w:t>
            </w:r>
          </w:p>
        </w:tc>
        <w:tc>
          <w:tcPr>
            <w:tcW w:w="967" w:type="dxa"/>
            <w:noWrap w:val="0"/>
            <w:vAlign w:val="center"/>
          </w:tcPr>
          <w:p>
            <w:pPr>
              <w:keepNext w:val="0"/>
              <w:keepLines w:val="0"/>
              <w:widowControl/>
              <w:suppressLineNumbers w:val="0"/>
              <w:jc w:val="center"/>
              <w:textAlignment w:val="center"/>
              <w:rPr>
                <w:rFonts w:hint="default" w:ascii="Times New Roman" w:hAnsi="Times New Roman" w:eastAsia="新宋体" w:cs="Times New Roman"/>
                <w:color w:val="000000"/>
                <w:kern w:val="0"/>
              </w:rPr>
            </w:pPr>
            <w:r>
              <w:rPr>
                <w:rFonts w:hint="default" w:ascii="Times New Roman" w:hAnsi="Times New Roman" w:eastAsia="宋体" w:cs="Times New Roman"/>
                <w:i w:val="0"/>
                <w:iCs w:val="0"/>
                <w:color w:val="000000"/>
                <w:kern w:val="0"/>
                <w:sz w:val="21"/>
                <w:szCs w:val="21"/>
                <w:u w:val="none"/>
                <w:lang w:val="en-US" w:eastAsia="zh-CN" w:bidi="ar"/>
              </w:rPr>
              <w:t>人</w:t>
            </w:r>
          </w:p>
        </w:tc>
        <w:tc>
          <w:tcPr>
            <w:tcW w:w="1302"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rPr>
            </w:pPr>
            <w:r>
              <w:rPr>
                <w:rFonts w:hint="default" w:ascii="Times New Roman" w:hAnsi="Times New Roman" w:eastAsia="等线" w:cs="Times New Roman"/>
                <w:i w:val="0"/>
                <w:iCs w:val="0"/>
                <w:color w:val="000000"/>
                <w:kern w:val="0"/>
                <w:sz w:val="21"/>
                <w:szCs w:val="21"/>
                <w:u w:val="none"/>
                <w:lang w:val="en-US" w:eastAsia="zh-CN" w:bidi="ar"/>
              </w:rPr>
              <w:t>0</w:t>
            </w:r>
          </w:p>
        </w:tc>
        <w:tc>
          <w:tcPr>
            <w:tcW w:w="1496"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rPr>
            </w:pPr>
            <w:r>
              <w:rPr>
                <w:rFonts w:hint="default" w:ascii="Times New Roman" w:hAnsi="Times New Roman" w:eastAsia="等线" w:cs="Times New Roman"/>
                <w:i w:val="0"/>
                <w:iCs w:val="0"/>
                <w:color w:val="000000"/>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noWrap w:val="0"/>
            <w:vAlign w:val="center"/>
          </w:tcPr>
          <w:p>
            <w:pPr>
              <w:keepNext w:val="0"/>
              <w:keepLines w:val="0"/>
              <w:widowControl/>
              <w:suppressLineNumbers w:val="0"/>
              <w:jc w:val="center"/>
              <w:textAlignment w:val="center"/>
              <w:rPr>
                <w:rFonts w:hint="default" w:ascii="Times New Roman" w:hAnsi="Times New Roman" w:eastAsia="新宋体" w:cs="Times New Roman"/>
                <w:color w:val="000000"/>
              </w:rPr>
            </w:pPr>
            <w:r>
              <w:rPr>
                <w:rFonts w:hint="default" w:ascii="Times New Roman" w:hAnsi="Times New Roman" w:eastAsia="等线" w:cs="Times New Roman"/>
                <w:b/>
                <w:bCs/>
                <w:i w:val="0"/>
                <w:iCs w:val="0"/>
                <w:color w:val="000000"/>
                <w:kern w:val="0"/>
                <w:sz w:val="21"/>
                <w:szCs w:val="21"/>
                <w:u w:val="none"/>
                <w:lang w:val="en-US" w:eastAsia="zh-CN" w:bidi="ar"/>
              </w:rPr>
              <w:t>7</w:t>
            </w:r>
          </w:p>
        </w:tc>
        <w:tc>
          <w:tcPr>
            <w:tcW w:w="2335"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kern w:val="0"/>
              </w:rPr>
            </w:pPr>
            <w:r>
              <w:rPr>
                <w:rFonts w:hint="default" w:ascii="Times New Roman" w:hAnsi="Times New Roman" w:eastAsia="宋体" w:cs="Times New Roman"/>
                <w:i w:val="0"/>
                <w:iCs w:val="0"/>
                <w:color w:val="000000"/>
                <w:kern w:val="0"/>
                <w:sz w:val="21"/>
                <w:szCs w:val="21"/>
                <w:u w:val="none"/>
                <w:lang w:val="en-US" w:eastAsia="zh-CN" w:bidi="ar"/>
              </w:rPr>
              <w:t>升入高职高专院校人数</w:t>
            </w:r>
          </w:p>
        </w:tc>
        <w:tc>
          <w:tcPr>
            <w:tcW w:w="967" w:type="dxa"/>
            <w:noWrap w:val="0"/>
            <w:vAlign w:val="center"/>
          </w:tcPr>
          <w:p>
            <w:pPr>
              <w:keepNext w:val="0"/>
              <w:keepLines w:val="0"/>
              <w:widowControl/>
              <w:suppressLineNumbers w:val="0"/>
              <w:jc w:val="center"/>
              <w:textAlignment w:val="center"/>
              <w:rPr>
                <w:rFonts w:hint="default" w:ascii="Times New Roman" w:hAnsi="Times New Roman" w:eastAsia="新宋体" w:cs="Times New Roman"/>
                <w:color w:val="000000"/>
                <w:kern w:val="0"/>
              </w:rPr>
            </w:pPr>
            <w:r>
              <w:rPr>
                <w:rFonts w:hint="default" w:ascii="Times New Roman" w:hAnsi="Times New Roman" w:eastAsia="宋体" w:cs="Times New Roman"/>
                <w:i w:val="0"/>
                <w:iCs w:val="0"/>
                <w:color w:val="000000"/>
                <w:kern w:val="0"/>
                <w:sz w:val="21"/>
                <w:szCs w:val="21"/>
                <w:u w:val="none"/>
                <w:lang w:val="en-US" w:eastAsia="zh-CN" w:bidi="ar"/>
              </w:rPr>
              <w:t>人</w:t>
            </w:r>
          </w:p>
        </w:tc>
        <w:tc>
          <w:tcPr>
            <w:tcW w:w="1302"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rPr>
            </w:pPr>
            <w:r>
              <w:rPr>
                <w:rFonts w:hint="default" w:ascii="Times New Roman" w:hAnsi="Times New Roman" w:eastAsia="等线" w:cs="Times New Roman"/>
                <w:i w:val="0"/>
                <w:iCs w:val="0"/>
                <w:color w:val="000000"/>
                <w:kern w:val="0"/>
                <w:sz w:val="24"/>
                <w:szCs w:val="24"/>
                <w:u w:val="none"/>
                <w:lang w:val="en-US" w:eastAsia="zh-CN" w:bidi="ar"/>
              </w:rPr>
              <w:t>447</w:t>
            </w:r>
          </w:p>
        </w:tc>
        <w:tc>
          <w:tcPr>
            <w:tcW w:w="1496"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rPr>
            </w:pPr>
            <w:r>
              <w:rPr>
                <w:rFonts w:hint="default" w:ascii="Times New Roman" w:hAnsi="Times New Roman" w:eastAsia="等线" w:cs="Times New Roman"/>
                <w:i w:val="0"/>
                <w:iCs w:val="0"/>
                <w:color w:val="000000"/>
                <w:kern w:val="0"/>
                <w:sz w:val="24"/>
                <w:szCs w:val="24"/>
                <w:u w:val="none"/>
                <w:lang w:val="en-US" w:eastAsia="zh-CN" w:bidi="ar"/>
              </w:rPr>
              <w:t>63</w:t>
            </w:r>
            <w:r>
              <w:rPr>
                <w:rFonts w:hint="default" w:ascii="Times New Roman" w:hAnsi="Times New Roman" w:eastAsia="等线" w:cs="Times New Roman"/>
                <w:i w:val="0"/>
                <w:iCs w:val="0"/>
                <w:color w:val="000000"/>
                <w:kern w:val="0"/>
                <w:sz w:val="24"/>
                <w:szCs w:val="24"/>
                <w:u w:val="none"/>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62" w:type="dxa"/>
            <w:noWrap w:val="0"/>
            <w:vAlign w:val="center"/>
          </w:tcPr>
          <w:p>
            <w:pPr>
              <w:keepNext w:val="0"/>
              <w:keepLines w:val="0"/>
              <w:widowControl/>
              <w:suppressLineNumbers w:val="0"/>
              <w:jc w:val="center"/>
              <w:textAlignment w:val="center"/>
              <w:rPr>
                <w:rFonts w:hint="default" w:ascii="Times New Roman" w:hAnsi="Times New Roman" w:eastAsia="新宋体" w:cs="Times New Roman"/>
                <w:color w:val="000000"/>
              </w:rPr>
            </w:pPr>
            <w:r>
              <w:rPr>
                <w:rFonts w:hint="default" w:ascii="Times New Roman" w:hAnsi="Times New Roman" w:eastAsia="等线" w:cs="Times New Roman"/>
                <w:b/>
                <w:bCs/>
                <w:i w:val="0"/>
                <w:iCs w:val="0"/>
                <w:color w:val="000000"/>
                <w:kern w:val="0"/>
                <w:sz w:val="21"/>
                <w:szCs w:val="21"/>
                <w:u w:val="none"/>
                <w:lang w:val="en-US" w:eastAsia="zh-CN" w:bidi="ar"/>
              </w:rPr>
              <w:t>8</w:t>
            </w:r>
          </w:p>
        </w:tc>
        <w:tc>
          <w:tcPr>
            <w:tcW w:w="2335"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kern w:val="0"/>
              </w:rPr>
            </w:pPr>
            <w:r>
              <w:rPr>
                <w:rFonts w:hint="default" w:ascii="Times New Roman" w:hAnsi="Times New Roman" w:eastAsia="宋体" w:cs="Times New Roman"/>
                <w:i w:val="0"/>
                <w:iCs w:val="0"/>
                <w:color w:val="000000"/>
                <w:kern w:val="0"/>
                <w:sz w:val="21"/>
                <w:szCs w:val="21"/>
                <w:u w:val="none"/>
                <w:lang w:val="en-US" w:eastAsia="zh-CN" w:bidi="ar"/>
              </w:rPr>
              <w:t>其他升学人数（含留学、成人教育、自学考试）</w:t>
            </w:r>
          </w:p>
        </w:tc>
        <w:tc>
          <w:tcPr>
            <w:tcW w:w="967" w:type="dxa"/>
            <w:noWrap w:val="0"/>
            <w:vAlign w:val="center"/>
          </w:tcPr>
          <w:p>
            <w:pPr>
              <w:keepNext w:val="0"/>
              <w:keepLines w:val="0"/>
              <w:widowControl/>
              <w:suppressLineNumbers w:val="0"/>
              <w:jc w:val="center"/>
              <w:textAlignment w:val="center"/>
              <w:rPr>
                <w:rFonts w:hint="default" w:ascii="Times New Roman" w:hAnsi="Times New Roman" w:eastAsia="新宋体" w:cs="Times New Roman"/>
                <w:color w:val="000000"/>
                <w:kern w:val="0"/>
              </w:rPr>
            </w:pPr>
            <w:r>
              <w:rPr>
                <w:rFonts w:hint="default" w:ascii="Times New Roman" w:hAnsi="Times New Roman" w:eastAsia="宋体" w:cs="Times New Roman"/>
                <w:i w:val="0"/>
                <w:iCs w:val="0"/>
                <w:color w:val="000000"/>
                <w:kern w:val="0"/>
                <w:sz w:val="21"/>
                <w:szCs w:val="21"/>
                <w:u w:val="none"/>
                <w:lang w:val="en-US" w:eastAsia="zh-CN" w:bidi="ar"/>
              </w:rPr>
              <w:t>人</w:t>
            </w:r>
          </w:p>
        </w:tc>
        <w:tc>
          <w:tcPr>
            <w:tcW w:w="1302"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rPr>
            </w:pPr>
            <w:r>
              <w:rPr>
                <w:rFonts w:hint="default" w:ascii="Times New Roman" w:hAnsi="Times New Roman" w:eastAsia="等线" w:cs="Times New Roman"/>
                <w:i w:val="0"/>
                <w:iCs w:val="0"/>
                <w:color w:val="000000"/>
                <w:kern w:val="0"/>
                <w:sz w:val="24"/>
                <w:szCs w:val="24"/>
                <w:u w:val="none"/>
                <w:lang w:val="en-US" w:eastAsia="zh-CN" w:bidi="ar"/>
              </w:rPr>
              <w:t>61</w:t>
            </w:r>
          </w:p>
        </w:tc>
        <w:tc>
          <w:tcPr>
            <w:tcW w:w="1496" w:type="dxa"/>
            <w:noWrap w:val="0"/>
            <w:vAlign w:val="center"/>
          </w:tcPr>
          <w:p>
            <w:pPr>
              <w:keepNext w:val="0"/>
              <w:keepLines w:val="0"/>
              <w:widowControl/>
              <w:suppressLineNumbers w:val="0"/>
              <w:jc w:val="left"/>
              <w:textAlignment w:val="center"/>
              <w:rPr>
                <w:rFonts w:hint="default" w:ascii="Times New Roman" w:hAnsi="Times New Roman" w:eastAsia="新宋体" w:cs="Times New Roman"/>
                <w:color w:val="000000"/>
              </w:rPr>
            </w:pPr>
            <w:r>
              <w:rPr>
                <w:rFonts w:hint="default" w:ascii="Times New Roman" w:hAnsi="Times New Roman" w:eastAsia="等线" w:cs="Times New Roman"/>
                <w:i w:val="0"/>
                <w:iCs w:val="0"/>
                <w:color w:val="000000"/>
                <w:kern w:val="0"/>
                <w:sz w:val="24"/>
                <w:szCs w:val="24"/>
                <w:u w:val="none"/>
                <w:lang w:val="en-US" w:eastAsia="zh-CN" w:bidi="ar"/>
              </w:rPr>
              <w:t>11</w:t>
            </w:r>
          </w:p>
        </w:tc>
      </w:tr>
    </w:tbl>
    <w:p>
      <w:pPr>
        <w:spacing w:line="360" w:lineRule="auto"/>
        <w:ind w:firstLine="600"/>
        <w:rPr>
          <w:rFonts w:hint="default" w:ascii="Times New Roman" w:hAnsi="Times New Roman" w:eastAsia="仿宋_GB2312" w:cs="Times New Roman"/>
          <w:sz w:val="32"/>
          <w:szCs w:val="32"/>
        </w:rPr>
      </w:pPr>
    </w:p>
    <w:p>
      <w:pPr>
        <w:spacing w:line="360" w:lineRule="auto"/>
        <w:ind w:firstLine="6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3.教学改革</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3.1教育教学改革。</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rPr>
        <w:t>.1 学校公共基础课</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学校严格按照《中等职业学校公共基础课程方案》，开齐开足了包括思想政治、语文、历史、数学、外语、信息技术、体育与健康、艺术，物理、化学为相关专业的必修课程、限定选修课程和任意选修课程，以提升学生思想政治素质、科学文化素养，促进学生可持续发展。</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rPr>
        <w:t xml:space="preserve"> 专业设置</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学校紧密对接四川“5+</w:t>
      </w: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rPr>
        <w:t>”现代工业体系和“1</w:t>
      </w:r>
      <w:r>
        <w:rPr>
          <w:rFonts w:hint="default" w:ascii="Times New Roman" w:hAnsi="Times New Roman" w:eastAsia="仿宋_GB2312" w:cs="Times New Roman"/>
          <w:sz w:val="32"/>
          <w:szCs w:val="32"/>
        </w:rPr>
        <w:t>0</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rPr>
        <w:t>3</w:t>
      </w:r>
      <w:r>
        <w:rPr>
          <w:rFonts w:hint="default" w:ascii="Times New Roman" w:hAnsi="Times New Roman" w:eastAsia="仿宋_GB2312" w:cs="Times New Roman"/>
          <w:sz w:val="32"/>
          <w:szCs w:val="32"/>
        </w:rPr>
        <w:t>”现代服务业体系，积极服务地方经济发展，现开设有电子商务、汽车运用与维修、航空服务等1</w:t>
      </w: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rPr>
        <w:t>个专业，涉及一、二、三产业，专业结构合理。2</w:t>
      </w:r>
      <w:r>
        <w:rPr>
          <w:rFonts w:hint="default" w:ascii="Times New Roman" w:hAnsi="Times New Roman" w:eastAsia="仿宋_GB2312" w:cs="Times New Roman"/>
          <w:sz w:val="32"/>
          <w:szCs w:val="32"/>
        </w:rPr>
        <w:t>021</w:t>
      </w:r>
      <w:r>
        <w:rPr>
          <w:rFonts w:hint="default" w:ascii="Times New Roman" w:hAnsi="Times New Roman" w:eastAsia="仿宋_GB2312" w:cs="Times New Roman"/>
          <w:sz w:val="32"/>
          <w:szCs w:val="32"/>
        </w:rPr>
        <w:t>年1</w:t>
      </w: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rPr>
        <w:t>月1</w:t>
      </w:r>
      <w:r>
        <w:rPr>
          <w:rFonts w:hint="default" w:ascii="Times New Roman" w:hAnsi="Times New Roman" w:eastAsia="仿宋_GB2312" w:cs="Times New Roman"/>
          <w:sz w:val="32"/>
          <w:szCs w:val="32"/>
        </w:rPr>
        <w:t>8</w:t>
      </w:r>
      <w:r>
        <w:rPr>
          <w:rFonts w:hint="default" w:ascii="Times New Roman" w:hAnsi="Times New Roman" w:eastAsia="仿宋_GB2312" w:cs="Times New Roman"/>
          <w:sz w:val="32"/>
          <w:szCs w:val="32"/>
        </w:rPr>
        <w:t>日前，学校已完成了原有会计事务、电子商务、航空服务等十一个专业的网上备案工作，并于1</w:t>
      </w: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rPr>
        <w:t>月1</w:t>
      </w:r>
      <w:r>
        <w:rPr>
          <w:rFonts w:hint="default" w:ascii="Times New Roman" w:hAnsi="Times New Roman" w:eastAsia="仿宋_GB2312" w:cs="Times New Roman"/>
          <w:sz w:val="32"/>
          <w:szCs w:val="32"/>
        </w:rPr>
        <w:t>7</w:t>
      </w:r>
      <w:r>
        <w:rPr>
          <w:rFonts w:hint="default" w:ascii="Times New Roman" w:hAnsi="Times New Roman" w:eastAsia="仿宋_GB2312" w:cs="Times New Roman"/>
          <w:sz w:val="32"/>
          <w:szCs w:val="32"/>
        </w:rPr>
        <w:t>日开展了新专业（森林消防、幼儿保育）的申报工作，专业目标定位清晰，教学计划安排合理，课程设置合规、教学内容贴近生产实际，此外，学校还创新了校企合作方式，促进产教深度融合，不断创新和拓展校企深度融合的渠道，建立多元化的校企合作项目，与德阳市消防大队、旌阳区消防支队签订校企合作协议，以共建实训教育基地、工定人培方案、共研课程体系的方式，实现人才共同培养。</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rPr>
        <w:t>3</w:t>
      </w:r>
      <w:r>
        <w:rPr>
          <w:rFonts w:hint="default" w:ascii="Times New Roman" w:hAnsi="Times New Roman" w:eastAsia="仿宋_GB2312" w:cs="Times New Roman"/>
          <w:sz w:val="32"/>
          <w:szCs w:val="32"/>
        </w:rPr>
        <w:t xml:space="preserve"> 课程建设</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学校组织全体教师积极探索课程体系改革，航空服务、会计事务等4个特色专业根据本专业发展需求，完善了各专业《课程体系建设方案》，修订了《候机楼服务》等2</w:t>
      </w:r>
      <w:r>
        <w:rPr>
          <w:rFonts w:hint="default" w:ascii="Times New Roman" w:hAnsi="Times New Roman" w:eastAsia="仿宋_GB2312" w:cs="Times New Roman"/>
          <w:sz w:val="32"/>
          <w:szCs w:val="32"/>
        </w:rPr>
        <w:t>0</w:t>
      </w:r>
      <w:r>
        <w:rPr>
          <w:rFonts w:hint="default" w:ascii="Times New Roman" w:hAnsi="Times New Roman" w:eastAsia="仿宋_GB2312" w:cs="Times New Roman"/>
          <w:sz w:val="32"/>
          <w:szCs w:val="32"/>
        </w:rPr>
        <w:t>门专业核心课程的课程标准；按照“人才培养对接用人需求、专业对接产业、课程对接岗位、教材对接技能”的基本原则，形成公共课占总学时3</w:t>
      </w:r>
      <w:r>
        <w:rPr>
          <w:rFonts w:hint="default" w:ascii="Times New Roman" w:hAnsi="Times New Roman" w:eastAsia="仿宋_GB2312" w:cs="Times New Roman"/>
          <w:sz w:val="32"/>
          <w:szCs w:val="32"/>
        </w:rPr>
        <w:t>0</w:t>
      </w:r>
      <w:r>
        <w:rPr>
          <w:rFonts w:hint="default" w:ascii="Times New Roman" w:hAnsi="Times New Roman" w:eastAsia="仿宋_GB2312" w:cs="Times New Roman"/>
          <w:sz w:val="32"/>
          <w:szCs w:val="32"/>
        </w:rPr>
        <w:t>%，专业实践课占专业课学时近</w:t>
      </w:r>
      <w:r>
        <w:rPr>
          <w:rFonts w:hint="default" w:ascii="Times New Roman" w:hAnsi="Times New Roman" w:eastAsia="仿宋_GB2312" w:cs="Times New Roman"/>
          <w:sz w:val="32"/>
          <w:szCs w:val="32"/>
        </w:rPr>
        <w:t>50</w:t>
      </w:r>
      <w:r>
        <w:rPr>
          <w:rFonts w:hint="default" w:ascii="Times New Roman" w:hAnsi="Times New Roman" w:eastAsia="仿宋_GB2312" w:cs="Times New Roman"/>
          <w:sz w:val="32"/>
          <w:szCs w:val="32"/>
        </w:rPr>
        <w:t>%的课程结构，并将国家执业资格考试、职业技能培训与鉴定标准融入专业课程体系。积极开展1+X试点，率先在电子商务专业实行网店运营1+X试点工作，是德阳市首个1+X试点学校。202</w:t>
      </w: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rPr>
        <w:t>年，学生专业技能合格率为8</w:t>
      </w:r>
      <w:r>
        <w:rPr>
          <w:rFonts w:hint="default" w:ascii="Times New Roman" w:hAnsi="Times New Roman" w:eastAsia="仿宋_GB2312" w:cs="Times New Roman"/>
          <w:sz w:val="32"/>
          <w:szCs w:val="32"/>
        </w:rPr>
        <w:t>5</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rPr>
        <w:t>%，相比</w:t>
      </w:r>
      <w:r>
        <w:rPr>
          <w:rFonts w:hint="default" w:ascii="Times New Roman" w:hAnsi="Times New Roman" w:eastAsia="仿宋_GB2312" w:cs="Times New Roman"/>
          <w:sz w:val="32"/>
          <w:szCs w:val="32"/>
        </w:rPr>
        <w:t>2020</w:t>
      </w:r>
      <w:r>
        <w:rPr>
          <w:rFonts w:hint="default" w:ascii="Times New Roman" w:hAnsi="Times New Roman" w:eastAsia="仿宋_GB2312" w:cs="Times New Roman"/>
          <w:sz w:val="32"/>
          <w:szCs w:val="32"/>
        </w:rPr>
        <w:t>年增长3个百分点；“双证融合”贯穿教学全过程，职业资格证书数</w:t>
      </w:r>
      <w:r>
        <w:rPr>
          <w:rFonts w:hint="default" w:ascii="Times New Roman" w:hAnsi="Times New Roman" w:eastAsia="仿宋_GB2312" w:cs="Times New Roman"/>
          <w:sz w:val="32"/>
          <w:szCs w:val="32"/>
        </w:rPr>
        <w:t>397</w:t>
      </w:r>
      <w:r>
        <w:rPr>
          <w:rFonts w:hint="default" w:ascii="Times New Roman" w:hAnsi="Times New Roman" w:eastAsia="仿宋_GB2312" w:cs="Times New Roman"/>
          <w:sz w:val="32"/>
          <w:szCs w:val="32"/>
        </w:rPr>
        <w:t>个，较去年增加1</w:t>
      </w:r>
      <w:r>
        <w:rPr>
          <w:rFonts w:hint="default" w:ascii="Times New Roman" w:hAnsi="Times New Roman" w:eastAsia="仿宋_GB2312" w:cs="Times New Roman"/>
          <w:sz w:val="32"/>
          <w:szCs w:val="32"/>
        </w:rPr>
        <w:t>78</w:t>
      </w:r>
      <w:r>
        <w:rPr>
          <w:rFonts w:hint="default" w:ascii="Times New Roman" w:hAnsi="Times New Roman" w:eastAsia="仿宋_GB2312" w:cs="Times New Roman"/>
          <w:sz w:val="32"/>
          <w:szCs w:val="32"/>
        </w:rPr>
        <w:t>%；毕业生“双证率”</w:t>
      </w:r>
      <w:r>
        <w:rPr>
          <w:rFonts w:hint="default" w:ascii="Times New Roman" w:hAnsi="Times New Roman" w:eastAsia="仿宋_GB2312" w:cs="Times New Roman"/>
          <w:sz w:val="32"/>
          <w:szCs w:val="32"/>
        </w:rPr>
        <w:t>52.2</w:t>
      </w:r>
      <w:r>
        <w:rPr>
          <w:rFonts w:hint="default" w:ascii="Times New Roman" w:hAnsi="Times New Roman" w:eastAsia="仿宋_GB2312" w:cs="Times New Roman"/>
          <w:sz w:val="32"/>
          <w:szCs w:val="32"/>
        </w:rPr>
        <w:t>%，较去年增长1</w:t>
      </w:r>
      <w:r>
        <w:rPr>
          <w:rFonts w:hint="default" w:ascii="Times New Roman" w:hAnsi="Times New Roman" w:eastAsia="仿宋_GB2312" w:cs="Times New Roman"/>
          <w:sz w:val="32"/>
          <w:szCs w:val="32"/>
        </w:rPr>
        <w:t>3.7</w:t>
      </w:r>
      <w:r>
        <w:rPr>
          <w:rFonts w:hint="default" w:ascii="Times New Roman" w:hAnsi="Times New Roman" w:eastAsia="仿宋_GB2312" w:cs="Times New Roman"/>
          <w:sz w:val="32"/>
          <w:szCs w:val="32"/>
        </w:rPr>
        <w:t>%。</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default" w:ascii="Times New Roman" w:hAnsi="Times New Roman" w:eastAsia="仿宋_GB2312" w:cs="Times New Roman"/>
          <w:sz w:val="32"/>
          <w:szCs w:val="32"/>
        </w:rPr>
        <w:t>1.4</w:t>
      </w:r>
      <w:r>
        <w:rPr>
          <w:rFonts w:hint="default" w:ascii="Times New Roman" w:hAnsi="Times New Roman" w:eastAsia="仿宋_GB2312" w:cs="Times New Roman"/>
          <w:sz w:val="32"/>
          <w:szCs w:val="32"/>
        </w:rPr>
        <w:t>教师培养培训</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师资队伍建设是强校之策。学校坚持“用好现有人才，引进紧缺人才，培养骨干人才”的方针，不断完善“引才、育才、用才、留才”的机制，逐步扩大师资队伍的规模，优化师资队伍的结构，提升师资队伍的素质，形成一支知识结构与现代职业教育发展相适应的、整体结构合理、发展趋势良好的师资队伍。</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是重视师德师风教育,规范教师从教行为，严格要求教师认真履行职责、为人师表、教书育人。二是采用“走出去，请进来”方式，加大师资培训力度，如选送教师参加四川省“名师工作室”研修，参加四川省紧缺领域电子商务传承平台研修，参加职业教育教师创新团队建设在线培训。今年因新冠肺炎疫情影响，师资培训更多采用的是网络在线培训方式。学校利用示范校信息化建设成果，与国内多家大型教育平台联合，开展网上培训，先后组织参加了中等职业学校公共基础课职业教学标准解读、学习培训、信息技术、英语课程标准深度解读培训、疫情防控知识培训、班主任队伍建设培训等。学校积极安排教师到沿海发达地区兄弟院校交流、学习，定期邀请行业专家来校做教育技能培训，选派教师参与区域电商规划、精准扶贫的调研工作，参加全国职业技能大赛、优质课大赛和专业标准培训，拓宽了教师横向交流的渠道。三是开展丰富多彩的教学活动提升教师素质。组织各类教学技能专题培训活动。以系部为单位，结合专业开展集体听课、推门听课、网络评课、新进老师献课等教学活动。抓实校本教研活动开展，定期开展示范教学观摩活动和教学技能练兵活动。通过各项活动的开展，提高了教师业务水平，增强了教师对所授课程的认识。四是坚持开展以老带新、结对帮扶工作。对新进教师、年轻教师定点帮扶。在重大教学技能赛中组织专门团队，专题开展备课、讲授、信息化技术教学手段、教学评估、撰写教学实施报告等培训，取得了明显效果。20</w:t>
      </w:r>
      <w:r>
        <w:rPr>
          <w:rFonts w:hint="default" w:ascii="Times New Roman" w:hAnsi="Times New Roman" w:eastAsia="仿宋_GB2312" w:cs="Times New Roman"/>
          <w:sz w:val="32"/>
          <w:szCs w:val="32"/>
        </w:rPr>
        <w:t>21</w:t>
      </w:r>
      <w:r>
        <w:rPr>
          <w:rFonts w:hint="default" w:ascii="Times New Roman" w:hAnsi="Times New Roman" w:eastAsia="仿宋_GB2312" w:cs="Times New Roman"/>
          <w:sz w:val="32"/>
          <w:szCs w:val="32"/>
        </w:rPr>
        <w:t>年，我校教师积极参加各级各类比赛，获得省级一等奖</w:t>
      </w:r>
      <w:r>
        <w:rPr>
          <w:rFonts w:hint="default" w:ascii="Times New Roman" w:hAnsi="Times New Roman" w:eastAsia="仿宋_GB2312" w:cs="Times New Roman"/>
          <w:sz w:val="32"/>
          <w:szCs w:val="32"/>
        </w:rPr>
        <w:t>10</w:t>
      </w:r>
      <w:r>
        <w:rPr>
          <w:rFonts w:hint="default" w:ascii="Times New Roman" w:hAnsi="Times New Roman" w:eastAsia="仿宋_GB2312" w:cs="Times New Roman"/>
          <w:sz w:val="32"/>
          <w:szCs w:val="32"/>
        </w:rPr>
        <w:t>人次，三等奖</w:t>
      </w:r>
      <w:r>
        <w:rPr>
          <w:rFonts w:hint="default" w:ascii="Times New Roman" w:hAnsi="Times New Roman" w:eastAsia="仿宋_GB2312" w:cs="Times New Roman"/>
          <w:sz w:val="32"/>
          <w:szCs w:val="32"/>
        </w:rPr>
        <w:t>5</w:t>
      </w:r>
      <w:r>
        <w:rPr>
          <w:rFonts w:hint="default" w:ascii="Times New Roman" w:hAnsi="Times New Roman" w:eastAsia="仿宋_GB2312" w:cs="Times New Roman"/>
          <w:sz w:val="32"/>
          <w:szCs w:val="32"/>
        </w:rPr>
        <w:t>人次；市级一等奖1</w:t>
      </w:r>
      <w:r>
        <w:rPr>
          <w:rFonts w:hint="default" w:ascii="Times New Roman" w:hAnsi="Times New Roman" w:eastAsia="仿宋_GB2312" w:cs="Times New Roman"/>
          <w:sz w:val="32"/>
          <w:szCs w:val="32"/>
        </w:rPr>
        <w:t>3</w:t>
      </w:r>
      <w:r>
        <w:rPr>
          <w:rFonts w:hint="default" w:ascii="Times New Roman" w:hAnsi="Times New Roman" w:eastAsia="仿宋_GB2312" w:cs="Times New Roman"/>
          <w:sz w:val="32"/>
          <w:szCs w:val="32"/>
        </w:rPr>
        <w:t>人次，二等奖1</w:t>
      </w: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rPr>
        <w:t>人次，三等奖8人次，其中我校航线地理教学团队代表四川省参加国家比赛。</w:t>
      </w:r>
    </w:p>
    <w:p>
      <w:pPr>
        <w:pStyle w:val="5"/>
        <w:shd w:val="clear" w:color="auto" w:fill="FFFFFF"/>
        <w:spacing w:before="0" w:beforeAutospacing="0" w:after="0" w:afterAutospacing="0" w:line="240" w:lineRule="atLeast"/>
        <w:jc w:val="center"/>
        <w:rPr>
          <w:rFonts w:hint="default" w:ascii="Times New Roman" w:hAnsi="Times New Roman" w:eastAsia="黑体" w:cs="Times New Roman"/>
          <w:b/>
          <w:bCs/>
          <w:color w:val="000000"/>
        </w:rPr>
      </w:pPr>
    </w:p>
    <w:p>
      <w:pPr>
        <w:pStyle w:val="5"/>
        <w:shd w:val="clear" w:color="auto" w:fill="FFFFFF"/>
        <w:spacing w:before="0" w:beforeAutospacing="0" w:after="0" w:afterAutospacing="0" w:line="240" w:lineRule="atLeast"/>
        <w:jc w:val="center"/>
        <w:rPr>
          <w:rFonts w:hint="default" w:ascii="Times New Roman" w:hAnsi="Times New Roman" w:eastAsia="黑体" w:cs="Times New Roman"/>
          <w:b/>
          <w:bCs/>
          <w:color w:val="000000"/>
        </w:rPr>
      </w:pPr>
    </w:p>
    <w:p>
      <w:pPr>
        <w:pStyle w:val="5"/>
        <w:shd w:val="clear" w:color="auto" w:fill="FFFFFF"/>
        <w:spacing w:before="0" w:beforeAutospacing="0" w:after="0" w:afterAutospacing="0" w:line="240" w:lineRule="atLeast"/>
        <w:jc w:val="center"/>
        <w:rPr>
          <w:rFonts w:hint="default" w:ascii="Times New Roman" w:hAnsi="Times New Roman" w:eastAsia="黑体" w:cs="Times New Roman"/>
          <w:b/>
          <w:bCs/>
          <w:color w:val="000000"/>
        </w:rPr>
      </w:pPr>
      <w:r>
        <w:rPr>
          <w:rFonts w:hint="default" w:ascii="Times New Roman" w:hAnsi="Times New Roman" w:eastAsia="黑体" w:cs="Times New Roman"/>
          <w:b/>
          <w:bCs/>
          <w:color w:val="000000"/>
        </w:rPr>
        <w:t>表</w:t>
      </w:r>
      <w:r>
        <w:rPr>
          <w:rFonts w:hint="default" w:ascii="Times New Roman" w:hAnsi="Times New Roman" w:eastAsia="黑体" w:cs="Times New Roman"/>
          <w:b/>
          <w:bCs/>
          <w:color w:val="000000"/>
          <w:lang w:val="en-US" w:eastAsia="zh-CN"/>
        </w:rPr>
        <w:t>3-1</w:t>
      </w:r>
      <w:r>
        <w:rPr>
          <w:rFonts w:hint="default" w:ascii="Times New Roman" w:hAnsi="Times New Roman" w:eastAsia="黑体" w:cs="Times New Roman"/>
          <w:b/>
          <w:bCs/>
          <w:color w:val="000000"/>
        </w:rPr>
        <w:t xml:space="preserve">  </w:t>
      </w:r>
      <w:r>
        <w:rPr>
          <w:rFonts w:hint="default" w:ascii="Times New Roman" w:hAnsi="Times New Roman" w:eastAsia="黑体" w:cs="Times New Roman"/>
          <w:b/>
          <w:bCs/>
          <w:color w:val="000000"/>
        </w:rPr>
        <w:t>2019—202</w:t>
      </w:r>
      <w:r>
        <w:rPr>
          <w:rFonts w:hint="default" w:ascii="Times New Roman" w:hAnsi="Times New Roman" w:eastAsia="黑体" w:cs="Times New Roman"/>
          <w:b/>
          <w:bCs/>
          <w:color w:val="000000"/>
        </w:rPr>
        <w:t>1</w:t>
      </w:r>
      <w:r>
        <w:rPr>
          <w:rFonts w:hint="default" w:ascii="Times New Roman" w:hAnsi="Times New Roman" w:eastAsia="黑体" w:cs="Times New Roman"/>
          <w:b/>
          <w:bCs/>
          <w:color w:val="000000"/>
        </w:rPr>
        <w:t>学年教师参加各项活动（人次）情况</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74"/>
        <w:gridCol w:w="970"/>
        <w:gridCol w:w="1134"/>
        <w:gridCol w:w="851"/>
        <w:gridCol w:w="850"/>
        <w:gridCol w:w="567"/>
        <w:gridCol w:w="567"/>
        <w:gridCol w:w="567"/>
        <w:gridCol w:w="693"/>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restart"/>
            <w:tcBorders>
              <w:top w:val="single" w:color="auto" w:sz="4" w:space="0"/>
              <w:left w:val="single" w:color="auto" w:sz="4" w:space="0"/>
              <w:bottom w:val="single" w:color="auto" w:sz="4" w:space="0"/>
              <w:right w:val="single" w:color="auto" w:sz="4" w:space="0"/>
            </w:tcBorders>
            <w:shd w:val="clear" w:color="auto" w:fill="C6D9F1"/>
            <w:vAlign w:val="center"/>
          </w:tcPr>
          <w:p>
            <w:pPr>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年度</w:t>
            </w:r>
          </w:p>
        </w:tc>
        <w:tc>
          <w:tcPr>
            <w:tcW w:w="774" w:type="dxa"/>
            <w:vMerge w:val="restart"/>
            <w:tcBorders>
              <w:top w:val="single" w:color="auto" w:sz="4" w:space="0"/>
              <w:left w:val="single" w:color="auto" w:sz="4" w:space="0"/>
              <w:bottom w:val="single" w:color="auto" w:sz="4" w:space="0"/>
              <w:right w:val="single" w:color="auto" w:sz="4" w:space="0"/>
            </w:tcBorders>
            <w:shd w:val="clear" w:color="auto" w:fill="C6D9F1"/>
            <w:vAlign w:val="center"/>
          </w:tcPr>
          <w:p>
            <w:pPr>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参加技能大赛</w:t>
            </w:r>
          </w:p>
        </w:tc>
        <w:tc>
          <w:tcPr>
            <w:tcW w:w="970" w:type="dxa"/>
            <w:vMerge w:val="restart"/>
            <w:tcBorders>
              <w:top w:val="single" w:color="auto" w:sz="4" w:space="0"/>
              <w:left w:val="single" w:color="auto" w:sz="4" w:space="0"/>
              <w:bottom w:val="single" w:color="auto" w:sz="4" w:space="0"/>
              <w:right w:val="single" w:color="auto" w:sz="4" w:space="0"/>
            </w:tcBorders>
            <w:shd w:val="clear" w:color="auto" w:fill="C6D9F1"/>
            <w:vAlign w:val="center"/>
          </w:tcPr>
          <w:p>
            <w:pPr>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参加企业实践活动</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C6D9F1"/>
            <w:vAlign w:val="center"/>
          </w:tcPr>
          <w:p>
            <w:pPr>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担任县级以上活动评委</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C6D9F1"/>
            <w:vAlign w:val="center"/>
          </w:tcPr>
          <w:p>
            <w:pPr>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参加省市教研活动</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C6D9F1"/>
            <w:vAlign w:val="center"/>
          </w:tcPr>
          <w:p>
            <w:pPr>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参与课题研究</w:t>
            </w:r>
          </w:p>
        </w:tc>
        <w:tc>
          <w:tcPr>
            <w:tcW w:w="2394" w:type="dxa"/>
            <w:gridSpan w:val="4"/>
            <w:tcBorders>
              <w:top w:val="single" w:color="auto" w:sz="4" w:space="0"/>
              <w:left w:val="single" w:color="auto" w:sz="4" w:space="0"/>
              <w:bottom w:val="single" w:color="auto" w:sz="4" w:space="0"/>
              <w:right w:val="single" w:color="auto" w:sz="4" w:space="0"/>
            </w:tcBorders>
            <w:shd w:val="clear" w:color="auto" w:fill="C6D9F1"/>
            <w:vAlign w:val="center"/>
          </w:tcPr>
          <w:p>
            <w:pPr>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骨干教师培训</w:t>
            </w:r>
          </w:p>
        </w:tc>
        <w:tc>
          <w:tcPr>
            <w:tcW w:w="775" w:type="dxa"/>
            <w:vMerge w:val="restart"/>
            <w:tcBorders>
              <w:top w:val="single" w:color="auto" w:sz="4" w:space="0"/>
              <w:left w:val="single" w:color="auto" w:sz="4" w:space="0"/>
              <w:bottom w:val="single" w:color="auto" w:sz="4" w:space="0"/>
              <w:right w:val="single" w:color="auto" w:sz="4" w:space="0"/>
            </w:tcBorders>
            <w:shd w:val="clear" w:color="auto" w:fill="C6D9F1"/>
            <w:vAlign w:val="center"/>
          </w:tcPr>
          <w:p>
            <w:pPr>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校本研修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
                <w:color w:val="000000"/>
                <w:szCs w:val="21"/>
              </w:rPr>
            </w:pPr>
          </w:p>
        </w:tc>
        <w:tc>
          <w:tcPr>
            <w:tcW w:w="7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
                <w:color w:val="000000"/>
                <w:szCs w:val="21"/>
              </w:rPr>
            </w:pPr>
          </w:p>
        </w:tc>
        <w:tc>
          <w:tcPr>
            <w:tcW w:w="9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
                <w:color w:val="000000"/>
                <w:szCs w:val="21"/>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
                <w:color w:val="000000"/>
                <w:szCs w:val="21"/>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
                <w:color w:val="000000"/>
                <w:szCs w:val="21"/>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
                <w:color w:val="000000"/>
                <w:szCs w:val="21"/>
              </w:rPr>
            </w:pPr>
          </w:p>
        </w:tc>
        <w:tc>
          <w:tcPr>
            <w:tcW w:w="567" w:type="dxa"/>
            <w:tcBorders>
              <w:top w:val="single" w:color="auto" w:sz="4" w:space="0"/>
              <w:left w:val="single" w:color="auto" w:sz="4" w:space="0"/>
              <w:bottom w:val="single" w:color="auto" w:sz="4" w:space="0"/>
              <w:right w:val="single" w:color="auto" w:sz="4" w:space="0"/>
            </w:tcBorders>
            <w:shd w:val="clear" w:color="auto" w:fill="C6D9F1"/>
            <w:vAlign w:val="center"/>
          </w:tcPr>
          <w:p>
            <w:pPr>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国培</w:t>
            </w:r>
          </w:p>
        </w:tc>
        <w:tc>
          <w:tcPr>
            <w:tcW w:w="567" w:type="dxa"/>
            <w:tcBorders>
              <w:top w:val="single" w:color="auto" w:sz="4" w:space="0"/>
              <w:left w:val="single" w:color="auto" w:sz="4" w:space="0"/>
              <w:bottom w:val="single" w:color="auto" w:sz="4" w:space="0"/>
              <w:right w:val="single" w:color="auto" w:sz="4" w:space="0"/>
            </w:tcBorders>
            <w:shd w:val="clear" w:color="auto" w:fill="C6D9F1"/>
            <w:vAlign w:val="center"/>
          </w:tcPr>
          <w:p>
            <w:pPr>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省培</w:t>
            </w:r>
          </w:p>
        </w:tc>
        <w:tc>
          <w:tcPr>
            <w:tcW w:w="567" w:type="dxa"/>
            <w:tcBorders>
              <w:top w:val="single" w:color="auto" w:sz="4" w:space="0"/>
              <w:left w:val="single" w:color="auto" w:sz="4" w:space="0"/>
              <w:bottom w:val="single" w:color="auto" w:sz="4" w:space="0"/>
              <w:right w:val="single" w:color="auto" w:sz="4" w:space="0"/>
            </w:tcBorders>
            <w:shd w:val="clear" w:color="auto" w:fill="C6D9F1"/>
            <w:vAlign w:val="center"/>
          </w:tcPr>
          <w:p>
            <w:pPr>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市培</w:t>
            </w:r>
          </w:p>
        </w:tc>
        <w:tc>
          <w:tcPr>
            <w:tcW w:w="693" w:type="dxa"/>
            <w:tcBorders>
              <w:top w:val="single" w:color="auto" w:sz="4" w:space="0"/>
              <w:left w:val="single" w:color="auto" w:sz="4" w:space="0"/>
              <w:bottom w:val="single" w:color="auto" w:sz="4" w:space="0"/>
              <w:right w:val="single" w:color="auto" w:sz="4" w:space="0"/>
            </w:tcBorders>
            <w:shd w:val="clear" w:color="auto" w:fill="C6D9F1"/>
            <w:vAlign w:val="center"/>
          </w:tcPr>
          <w:p>
            <w:pPr>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校培</w:t>
            </w:r>
          </w:p>
        </w:tc>
        <w:tc>
          <w:tcPr>
            <w:tcW w:w="7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2019</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w:t>
            </w:r>
          </w:p>
        </w:tc>
        <w:tc>
          <w:tcPr>
            <w:tcW w:w="97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25</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8</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8</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41</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69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640</w:t>
            </w:r>
          </w:p>
        </w:tc>
        <w:tc>
          <w:tcPr>
            <w:tcW w:w="7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2020</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42</w:t>
            </w:r>
          </w:p>
        </w:tc>
        <w:tc>
          <w:tcPr>
            <w:tcW w:w="97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52</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3</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64</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69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780</w:t>
            </w:r>
          </w:p>
        </w:tc>
        <w:tc>
          <w:tcPr>
            <w:tcW w:w="7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202</w:t>
            </w:r>
            <w:r>
              <w:rPr>
                <w:rFonts w:hint="default" w:ascii="Times New Roman" w:hAnsi="Times New Roman" w:cs="Times New Roman"/>
                <w:color w:val="000000"/>
                <w:szCs w:val="21"/>
              </w:rPr>
              <w:t>1</w:t>
            </w:r>
          </w:p>
        </w:tc>
        <w:tc>
          <w:tcPr>
            <w:tcW w:w="77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w:t>
            </w:r>
            <w:r>
              <w:rPr>
                <w:rFonts w:hint="default" w:ascii="Times New Roman" w:hAnsi="Times New Roman" w:cs="Times New Roman"/>
                <w:color w:val="000000"/>
                <w:szCs w:val="21"/>
              </w:rPr>
              <w:t>8</w:t>
            </w:r>
          </w:p>
        </w:tc>
        <w:tc>
          <w:tcPr>
            <w:tcW w:w="97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52</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4</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10</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25</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64</w:t>
            </w:r>
          </w:p>
        </w:tc>
        <w:tc>
          <w:tcPr>
            <w:tcW w:w="5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0</w:t>
            </w:r>
          </w:p>
        </w:tc>
        <w:tc>
          <w:tcPr>
            <w:tcW w:w="69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820</w:t>
            </w:r>
          </w:p>
        </w:tc>
        <w:tc>
          <w:tcPr>
            <w:tcW w:w="7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234</w:t>
            </w:r>
          </w:p>
        </w:tc>
      </w:tr>
    </w:tbl>
    <w:p>
      <w:pPr>
        <w:pStyle w:val="14"/>
        <w:ind w:firstLine="0" w:firstLineChars="0"/>
        <w:jc w:val="center"/>
        <w:rPr>
          <w:rFonts w:hint="default" w:ascii="Times New Roman" w:hAnsi="Times New Roman" w:cs="Times New Roman"/>
          <w:b/>
          <w:bCs/>
          <w:color w:val="000000"/>
          <w:sz w:val="24"/>
          <w:szCs w:val="24"/>
        </w:rPr>
      </w:pPr>
    </w:p>
    <w:p>
      <w:pPr>
        <w:rPr>
          <w:rFonts w:hint="default" w:ascii="Times New Roman" w:hAnsi="Times New Roman" w:cs="Times New Roman"/>
        </w:rPr>
      </w:pPr>
      <w:r>
        <w:rPr>
          <w:rFonts w:hint="default" w:ascii="Times New Roman" w:hAnsi="Times New Roman" w:cs="Times New Roman"/>
        </w:rPr>
        <w:t>注：因疫情原因，骨干教师培训主要以线上培训为主。</w:t>
      </w:r>
    </w:p>
    <w:p>
      <w:pPr>
        <w:pStyle w:val="5"/>
        <w:shd w:val="clear" w:color="auto" w:fill="FFFFFF"/>
        <w:spacing w:line="240" w:lineRule="atLeast"/>
        <w:jc w:val="center"/>
        <w:rPr>
          <w:rFonts w:hint="default" w:ascii="Times New Roman" w:hAnsi="Times New Roman" w:eastAsia="黑体" w:cs="Times New Roman"/>
          <w:b/>
          <w:bCs/>
        </w:rPr>
      </w:pPr>
      <w:r>
        <w:rPr>
          <w:rFonts w:hint="default" w:ascii="Times New Roman" w:hAnsi="Times New Roman" w:eastAsia="黑体" w:cs="Times New Roman"/>
          <w:b/>
          <w:bCs/>
        </w:rPr>
        <w:t>表</w:t>
      </w:r>
      <w:r>
        <w:rPr>
          <w:rFonts w:hint="default" w:ascii="Times New Roman" w:hAnsi="Times New Roman" w:eastAsia="黑体" w:cs="Times New Roman"/>
          <w:b/>
          <w:bCs/>
          <w:lang w:val="en-US" w:eastAsia="zh-CN"/>
        </w:rPr>
        <w:t>3-2</w:t>
      </w:r>
      <w:r>
        <w:rPr>
          <w:rFonts w:hint="default" w:ascii="Times New Roman" w:hAnsi="Times New Roman" w:eastAsia="黑体" w:cs="Times New Roman"/>
          <w:b/>
          <w:bCs/>
        </w:rPr>
        <w:t xml:space="preserve">  </w:t>
      </w:r>
      <w:r>
        <w:rPr>
          <w:rFonts w:hint="default" w:ascii="Times New Roman" w:hAnsi="Times New Roman" w:eastAsia="黑体" w:cs="Times New Roman"/>
          <w:b/>
          <w:bCs/>
        </w:rPr>
        <w:t>20</w:t>
      </w:r>
      <w:r>
        <w:rPr>
          <w:rFonts w:hint="default" w:ascii="Times New Roman" w:hAnsi="Times New Roman" w:eastAsia="黑体" w:cs="Times New Roman"/>
          <w:b/>
          <w:bCs/>
        </w:rPr>
        <w:t>20</w:t>
      </w:r>
      <w:r>
        <w:rPr>
          <w:rFonts w:hint="default" w:ascii="Times New Roman" w:hAnsi="Times New Roman" w:eastAsia="黑体" w:cs="Times New Roman"/>
          <w:b/>
          <w:bCs/>
        </w:rPr>
        <w:t>—202</w:t>
      </w:r>
      <w:r>
        <w:rPr>
          <w:rFonts w:hint="default" w:ascii="Times New Roman" w:hAnsi="Times New Roman" w:eastAsia="黑体" w:cs="Times New Roman"/>
          <w:b/>
          <w:bCs/>
        </w:rPr>
        <w:t>1</w:t>
      </w:r>
      <w:r>
        <w:rPr>
          <w:rFonts w:hint="default" w:ascii="Times New Roman" w:hAnsi="Times New Roman" w:eastAsia="黑体" w:cs="Times New Roman"/>
          <w:b/>
          <w:bCs/>
        </w:rPr>
        <w:t>学年教师科研课题统计</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2551"/>
        <w:gridCol w:w="2417"/>
        <w:gridCol w:w="2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80" w:type="pct"/>
            <w:tcBorders>
              <w:top w:val="single" w:color="auto" w:sz="4" w:space="0"/>
              <w:left w:val="single" w:color="auto" w:sz="4" w:space="0"/>
              <w:bottom w:val="single" w:color="auto" w:sz="4" w:space="0"/>
              <w:right w:val="single" w:color="auto" w:sz="4" w:space="0"/>
            </w:tcBorders>
            <w:shd w:val="clear" w:color="auto" w:fill="BDD6EE"/>
          </w:tcPr>
          <w:p>
            <w:pPr>
              <w:pStyle w:val="14"/>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课题级别</w:t>
            </w:r>
          </w:p>
        </w:tc>
        <w:tc>
          <w:tcPr>
            <w:tcW w:w="1497" w:type="pct"/>
            <w:tcBorders>
              <w:top w:val="single" w:color="auto" w:sz="4" w:space="0"/>
              <w:left w:val="single" w:color="auto" w:sz="4" w:space="0"/>
              <w:bottom w:val="single" w:color="auto" w:sz="4" w:space="0"/>
              <w:right w:val="single" w:color="auto" w:sz="4" w:space="0"/>
            </w:tcBorders>
            <w:shd w:val="clear" w:color="auto" w:fill="BDD6EE"/>
            <w:vAlign w:val="center"/>
          </w:tcPr>
          <w:p>
            <w:pPr>
              <w:pStyle w:val="14"/>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课题管理机构</w:t>
            </w:r>
          </w:p>
        </w:tc>
        <w:tc>
          <w:tcPr>
            <w:tcW w:w="1418" w:type="pct"/>
            <w:tcBorders>
              <w:top w:val="single" w:color="auto" w:sz="4" w:space="0"/>
              <w:left w:val="single" w:color="auto" w:sz="4" w:space="0"/>
              <w:bottom w:val="single" w:color="auto" w:sz="4" w:space="0"/>
              <w:right w:val="single" w:color="auto" w:sz="4" w:space="0"/>
            </w:tcBorders>
            <w:shd w:val="clear" w:color="auto" w:fill="BDD6EE"/>
            <w:vAlign w:val="center"/>
          </w:tcPr>
          <w:p>
            <w:pPr>
              <w:pStyle w:val="14"/>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课题承担学校（单位）</w:t>
            </w:r>
          </w:p>
        </w:tc>
        <w:tc>
          <w:tcPr>
            <w:tcW w:w="1605" w:type="pct"/>
            <w:tcBorders>
              <w:top w:val="single" w:color="auto" w:sz="4" w:space="0"/>
              <w:left w:val="single" w:color="auto" w:sz="4" w:space="0"/>
              <w:bottom w:val="single" w:color="auto" w:sz="4" w:space="0"/>
              <w:right w:val="single" w:color="auto" w:sz="4" w:space="0"/>
            </w:tcBorders>
            <w:shd w:val="clear" w:color="auto" w:fill="BDD6EE"/>
            <w:vAlign w:val="center"/>
          </w:tcPr>
          <w:p>
            <w:pPr>
              <w:pStyle w:val="14"/>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课题名称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rPr>
            </w:pPr>
            <w:r>
              <w:rPr>
                <w:rFonts w:hint="default" w:ascii="Times New Roman" w:hAnsi="Times New Roman" w:cs="Times New Roman"/>
              </w:rPr>
              <w:t>省级</w:t>
            </w:r>
          </w:p>
        </w:tc>
        <w:tc>
          <w:tcPr>
            <w:tcW w:w="149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四川省教育厅</w:t>
            </w:r>
          </w:p>
        </w:tc>
        <w:tc>
          <w:tcPr>
            <w:tcW w:w="1418"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kern w:val="0"/>
              </w:rPr>
            </w:pPr>
            <w:r>
              <w:rPr>
                <w:rFonts w:hint="default" w:ascii="Times New Roman" w:hAnsi="Times New Roman" w:cs="Times New Roman"/>
                <w:kern w:val="0"/>
              </w:rPr>
              <w:t>四川省商贸学校</w:t>
            </w:r>
          </w:p>
        </w:tc>
        <w:tc>
          <w:tcPr>
            <w:tcW w:w="1605" w:type="pct"/>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kern w:val="0"/>
              </w:rPr>
            </w:pPr>
            <w:r>
              <w:rPr>
                <w:rFonts w:hint="default" w:ascii="Times New Roman" w:hAnsi="Times New Roman" w:cs="Times New Roman"/>
                <w:kern w:val="0"/>
              </w:rPr>
              <w:t>基于行动导向的翻转课堂教学模式研究—以中职《汽车结构认知与拆装》课程为例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rPr>
            </w:pPr>
            <w:r>
              <w:rPr>
                <w:rFonts w:hint="default" w:ascii="Times New Roman" w:hAnsi="Times New Roman" w:cs="Times New Roman"/>
              </w:rPr>
              <w:t>市级</w:t>
            </w:r>
          </w:p>
        </w:tc>
        <w:tc>
          <w:tcPr>
            <w:tcW w:w="149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rPr>
            </w:pPr>
            <w:r>
              <w:rPr>
                <w:rFonts w:hint="default" w:ascii="Times New Roman" w:hAnsi="Times New Roman" w:cs="Times New Roman"/>
              </w:rPr>
              <w:t>德阳市社科联</w:t>
            </w:r>
          </w:p>
        </w:tc>
        <w:tc>
          <w:tcPr>
            <w:tcW w:w="1418" w:type="pct"/>
            <w:tcBorders>
              <w:top w:val="single" w:color="auto" w:sz="4" w:space="0"/>
              <w:left w:val="single" w:color="auto" w:sz="4" w:space="0"/>
              <w:bottom w:val="single" w:color="auto" w:sz="4" w:space="0"/>
              <w:right w:val="single" w:color="auto" w:sz="4" w:space="0"/>
            </w:tcBorders>
            <w:vAlign w:val="center"/>
          </w:tcPr>
          <w:p>
            <w:pPr>
              <w:ind w:firstLine="420" w:firstLineChars="200"/>
              <w:rPr>
                <w:rFonts w:hint="default" w:ascii="Times New Roman" w:hAnsi="Times New Roman" w:cs="Times New Roman"/>
                <w:kern w:val="0"/>
              </w:rPr>
            </w:pPr>
            <w:r>
              <w:rPr>
                <w:rFonts w:hint="default" w:ascii="Times New Roman" w:hAnsi="Times New Roman" w:cs="Times New Roman"/>
                <w:kern w:val="0"/>
              </w:rPr>
              <w:t>四川省商贸学校</w:t>
            </w:r>
          </w:p>
        </w:tc>
        <w:tc>
          <w:tcPr>
            <w:tcW w:w="1605" w:type="pct"/>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kern w:val="0"/>
              </w:rPr>
            </w:pPr>
            <w:r>
              <w:rPr>
                <w:rFonts w:hint="default" w:ascii="Times New Roman" w:hAnsi="Times New Roman" w:cs="Times New Roman"/>
                <w:kern w:val="0"/>
              </w:rPr>
              <w:t>《</w:t>
            </w:r>
            <w:r>
              <w:rPr>
                <w:rFonts w:hint="default" w:ascii="Times New Roman" w:hAnsi="Times New Roman" w:cs="Times New Roman"/>
                <w:sz w:val="18"/>
                <w:szCs w:val="18"/>
                <w:shd w:val="clear" w:color="auto" w:fill="FFFFFF"/>
              </w:rPr>
              <w:t>基于乡村振兴战略下的德阳市乡村旅游发展路径优化研究</w:t>
            </w:r>
            <w:r>
              <w:rPr>
                <w:rFonts w:hint="default" w:ascii="Times New Roman" w:hAnsi="Times New Roman" w:cs="Times New Roman"/>
                <w:kern w:val="0"/>
              </w:rPr>
              <w:t>》</w:t>
            </w:r>
          </w:p>
        </w:tc>
      </w:tr>
    </w:tbl>
    <w:p>
      <w:pPr>
        <w:pStyle w:val="5"/>
        <w:shd w:val="clear" w:color="auto" w:fill="FFFFFF"/>
        <w:spacing w:line="240" w:lineRule="atLeast"/>
        <w:jc w:val="center"/>
        <w:rPr>
          <w:rFonts w:hint="default" w:ascii="Times New Roman" w:hAnsi="Times New Roman" w:eastAsia="黑体" w:cs="Times New Roman"/>
          <w:b/>
          <w:bCs/>
        </w:rPr>
      </w:pPr>
      <w:r>
        <w:rPr>
          <w:rFonts w:hint="default" w:ascii="Times New Roman" w:hAnsi="Times New Roman" w:eastAsia="黑体" w:cs="Times New Roman"/>
          <w:b/>
          <w:bCs/>
        </w:rPr>
        <w:t>表</w:t>
      </w:r>
      <w:r>
        <w:rPr>
          <w:rFonts w:hint="default" w:ascii="Times New Roman" w:hAnsi="Times New Roman" w:eastAsia="黑体" w:cs="Times New Roman"/>
          <w:b/>
          <w:bCs/>
          <w:lang w:val="en-US" w:eastAsia="zh-CN"/>
        </w:rPr>
        <w:t>3-3</w:t>
      </w:r>
      <w:r>
        <w:rPr>
          <w:rFonts w:hint="default" w:ascii="Times New Roman" w:hAnsi="Times New Roman" w:eastAsia="黑体" w:cs="Times New Roman"/>
          <w:b/>
          <w:bCs/>
        </w:rPr>
        <w:t xml:space="preserve">   </w:t>
      </w:r>
      <w:r>
        <w:rPr>
          <w:rFonts w:hint="default" w:ascii="Times New Roman" w:hAnsi="Times New Roman" w:eastAsia="黑体" w:cs="Times New Roman"/>
          <w:b/>
          <w:bCs/>
        </w:rPr>
        <w:t>20</w:t>
      </w:r>
      <w:r>
        <w:rPr>
          <w:rFonts w:hint="default" w:ascii="Times New Roman" w:hAnsi="Times New Roman" w:eastAsia="黑体" w:cs="Times New Roman"/>
          <w:b/>
          <w:bCs/>
        </w:rPr>
        <w:t>20</w:t>
      </w:r>
      <w:r>
        <w:rPr>
          <w:rFonts w:hint="default" w:ascii="Times New Roman" w:hAnsi="Times New Roman" w:eastAsia="黑体" w:cs="Times New Roman"/>
          <w:b/>
          <w:bCs/>
        </w:rPr>
        <w:t>-202</w:t>
      </w:r>
      <w:r>
        <w:rPr>
          <w:rFonts w:hint="default" w:ascii="Times New Roman" w:hAnsi="Times New Roman" w:eastAsia="黑体" w:cs="Times New Roman"/>
          <w:b/>
          <w:bCs/>
        </w:rPr>
        <w:t>1</w:t>
      </w:r>
      <w:r>
        <w:rPr>
          <w:rFonts w:hint="default" w:ascii="Times New Roman" w:hAnsi="Times New Roman" w:eastAsia="黑体" w:cs="Times New Roman"/>
          <w:b/>
          <w:bCs/>
        </w:rPr>
        <w:t>学年学校教师科研能力提升发展情况</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719"/>
        <w:gridCol w:w="1256"/>
        <w:gridCol w:w="850"/>
        <w:gridCol w:w="992"/>
        <w:gridCol w:w="851"/>
        <w:gridCol w:w="850"/>
        <w:gridCol w:w="709"/>
        <w:gridCol w:w="709"/>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802" w:type="dxa"/>
            <w:gridSpan w:val="3"/>
            <w:tcBorders>
              <w:top w:val="single" w:color="auto" w:sz="4" w:space="0"/>
              <w:left w:val="single" w:color="auto" w:sz="4" w:space="0"/>
              <w:bottom w:val="single" w:color="auto" w:sz="4" w:space="0"/>
              <w:right w:val="single" w:color="auto" w:sz="4" w:space="0"/>
            </w:tcBorders>
            <w:shd w:val="clear" w:color="auto" w:fill="C6D9F1"/>
            <w:vAlign w:val="center"/>
          </w:tcPr>
          <w:p>
            <w:pPr>
              <w:pStyle w:val="5"/>
              <w:jc w:val="center"/>
              <w:rPr>
                <w:rFonts w:hint="default" w:ascii="Times New Roman" w:hAnsi="Times New Roman" w:cs="Times New Roman"/>
                <w:b/>
                <w:sz w:val="21"/>
                <w:szCs w:val="21"/>
              </w:rPr>
            </w:pPr>
            <w:bookmarkStart w:id="0" w:name="_Toc502099095"/>
            <w:r>
              <w:rPr>
                <w:rFonts w:hint="default" w:ascii="Times New Roman" w:hAnsi="Times New Roman" w:eastAsia="宋体" w:cs="Times New Roman"/>
                <w:b/>
                <w:sz w:val="21"/>
                <w:szCs w:val="21"/>
              </w:rPr>
              <w:t>课题研究主研人员数</w:t>
            </w:r>
            <w:bookmarkEnd w:id="0"/>
          </w:p>
        </w:tc>
        <w:tc>
          <w:tcPr>
            <w:tcW w:w="2693" w:type="dxa"/>
            <w:gridSpan w:val="3"/>
            <w:tcBorders>
              <w:top w:val="single" w:color="auto" w:sz="4" w:space="0"/>
              <w:left w:val="single" w:color="auto" w:sz="4" w:space="0"/>
              <w:bottom w:val="single" w:color="auto" w:sz="4" w:space="0"/>
              <w:right w:val="single" w:color="auto" w:sz="4" w:space="0"/>
            </w:tcBorders>
            <w:shd w:val="clear" w:color="auto" w:fill="C6D9F1"/>
            <w:vAlign w:val="center"/>
          </w:tcPr>
          <w:p>
            <w:pPr>
              <w:pStyle w:val="5"/>
              <w:jc w:val="center"/>
              <w:rPr>
                <w:rFonts w:hint="default" w:ascii="Times New Roman" w:hAnsi="Times New Roman" w:cs="Times New Roman"/>
                <w:b/>
                <w:sz w:val="21"/>
                <w:szCs w:val="21"/>
              </w:rPr>
            </w:pPr>
            <w:bookmarkStart w:id="1" w:name="_Toc502099096"/>
            <w:r>
              <w:rPr>
                <w:rFonts w:hint="default" w:ascii="Times New Roman" w:hAnsi="Times New Roman" w:eastAsia="宋体" w:cs="Times New Roman"/>
                <w:b/>
                <w:sz w:val="21"/>
                <w:szCs w:val="21"/>
              </w:rPr>
              <w:t>论文发表或交流情况（篇）</w:t>
            </w:r>
            <w:bookmarkEnd w:id="1"/>
          </w:p>
        </w:tc>
        <w:tc>
          <w:tcPr>
            <w:tcW w:w="3027" w:type="dxa"/>
            <w:gridSpan w:val="4"/>
            <w:tcBorders>
              <w:top w:val="single" w:color="auto" w:sz="4" w:space="0"/>
              <w:left w:val="single" w:color="auto" w:sz="4" w:space="0"/>
              <w:bottom w:val="single" w:color="auto" w:sz="4" w:space="0"/>
              <w:right w:val="single" w:color="auto" w:sz="4" w:space="0"/>
            </w:tcBorders>
            <w:shd w:val="clear" w:color="auto" w:fill="C6D9F1"/>
            <w:vAlign w:val="center"/>
          </w:tcPr>
          <w:p>
            <w:pPr>
              <w:pStyle w:val="5"/>
              <w:jc w:val="center"/>
              <w:rPr>
                <w:rFonts w:hint="default" w:ascii="Times New Roman" w:hAnsi="Times New Roman" w:cs="Times New Roman"/>
                <w:b/>
                <w:sz w:val="21"/>
                <w:szCs w:val="21"/>
              </w:rPr>
            </w:pPr>
            <w:bookmarkStart w:id="2" w:name="_Toc502099097"/>
            <w:r>
              <w:rPr>
                <w:rFonts w:hint="default" w:ascii="Times New Roman" w:hAnsi="Times New Roman" w:eastAsia="宋体" w:cs="Times New Roman"/>
                <w:b/>
                <w:sz w:val="21"/>
                <w:szCs w:val="21"/>
              </w:rPr>
              <w:t>参加学术团体人数</w:t>
            </w:r>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 w:type="dxa"/>
            <w:tcBorders>
              <w:top w:val="single" w:color="auto" w:sz="4" w:space="0"/>
              <w:left w:val="single" w:color="auto" w:sz="4" w:space="0"/>
              <w:bottom w:val="single" w:color="auto" w:sz="4" w:space="0"/>
              <w:right w:val="single" w:color="auto" w:sz="4" w:space="0"/>
            </w:tcBorders>
            <w:shd w:val="clear" w:color="auto" w:fill="C6D9F1"/>
            <w:vAlign w:val="center"/>
          </w:tcPr>
          <w:p>
            <w:pPr>
              <w:jc w:val="center"/>
              <w:rPr>
                <w:rFonts w:hint="default" w:ascii="Times New Roman" w:hAnsi="Times New Roman" w:cs="Times New Roman"/>
                <w:b/>
                <w:kern w:val="0"/>
                <w:szCs w:val="21"/>
              </w:rPr>
            </w:pPr>
            <w:r>
              <w:rPr>
                <w:rFonts w:hint="default" w:ascii="Times New Roman" w:hAnsi="Times New Roman" w:cs="Times New Roman"/>
                <w:b/>
                <w:kern w:val="0"/>
                <w:szCs w:val="21"/>
              </w:rPr>
              <w:t>省级课题</w:t>
            </w:r>
          </w:p>
        </w:tc>
        <w:tc>
          <w:tcPr>
            <w:tcW w:w="719" w:type="dxa"/>
            <w:tcBorders>
              <w:top w:val="single" w:color="auto" w:sz="4" w:space="0"/>
              <w:left w:val="single" w:color="auto" w:sz="4" w:space="0"/>
              <w:bottom w:val="single" w:color="auto" w:sz="4" w:space="0"/>
              <w:right w:val="single" w:color="auto" w:sz="4" w:space="0"/>
            </w:tcBorders>
            <w:shd w:val="clear" w:color="auto" w:fill="C6D9F1"/>
            <w:vAlign w:val="center"/>
          </w:tcPr>
          <w:p>
            <w:pPr>
              <w:jc w:val="center"/>
              <w:rPr>
                <w:rFonts w:hint="default" w:ascii="Times New Roman" w:hAnsi="Times New Roman" w:cs="Times New Roman"/>
                <w:b/>
                <w:kern w:val="0"/>
                <w:szCs w:val="21"/>
              </w:rPr>
            </w:pPr>
            <w:r>
              <w:rPr>
                <w:rFonts w:hint="default" w:ascii="Times New Roman" w:hAnsi="Times New Roman" w:cs="Times New Roman"/>
                <w:b/>
                <w:kern w:val="0"/>
                <w:szCs w:val="21"/>
              </w:rPr>
              <w:t>市级课题</w:t>
            </w:r>
          </w:p>
        </w:tc>
        <w:tc>
          <w:tcPr>
            <w:tcW w:w="1256" w:type="dxa"/>
            <w:tcBorders>
              <w:top w:val="single" w:color="auto" w:sz="4" w:space="0"/>
              <w:left w:val="single" w:color="auto" w:sz="4" w:space="0"/>
              <w:bottom w:val="single" w:color="auto" w:sz="4" w:space="0"/>
              <w:right w:val="single" w:color="auto" w:sz="4" w:space="0"/>
            </w:tcBorders>
            <w:shd w:val="clear" w:color="auto" w:fill="C6D9F1"/>
            <w:vAlign w:val="center"/>
          </w:tcPr>
          <w:p>
            <w:pPr>
              <w:jc w:val="center"/>
              <w:rPr>
                <w:rFonts w:hint="default" w:ascii="Times New Roman" w:hAnsi="Times New Roman" w:cs="Times New Roman"/>
                <w:b/>
                <w:kern w:val="0"/>
                <w:szCs w:val="21"/>
              </w:rPr>
            </w:pPr>
            <w:r>
              <w:rPr>
                <w:rFonts w:hint="default" w:ascii="Times New Roman" w:hAnsi="Times New Roman" w:cs="Times New Roman"/>
                <w:b/>
                <w:kern w:val="0"/>
                <w:szCs w:val="21"/>
              </w:rPr>
              <w:t>县或校级课题</w:t>
            </w:r>
          </w:p>
        </w:tc>
        <w:tc>
          <w:tcPr>
            <w:tcW w:w="850" w:type="dxa"/>
            <w:tcBorders>
              <w:top w:val="single" w:color="auto" w:sz="4" w:space="0"/>
              <w:left w:val="single" w:color="auto" w:sz="4" w:space="0"/>
              <w:bottom w:val="single" w:color="auto" w:sz="4" w:space="0"/>
              <w:right w:val="single" w:color="auto" w:sz="4" w:space="0"/>
            </w:tcBorders>
            <w:shd w:val="clear" w:color="auto" w:fill="C6D9F1"/>
            <w:vAlign w:val="center"/>
          </w:tcPr>
          <w:p>
            <w:pPr>
              <w:jc w:val="center"/>
              <w:rPr>
                <w:rFonts w:hint="default" w:ascii="Times New Roman" w:hAnsi="Times New Roman" w:cs="Times New Roman"/>
                <w:b/>
                <w:kern w:val="0"/>
                <w:szCs w:val="21"/>
              </w:rPr>
            </w:pPr>
            <w:r>
              <w:rPr>
                <w:rFonts w:hint="default" w:ascii="Times New Roman" w:hAnsi="Times New Roman" w:cs="Times New Roman"/>
                <w:b/>
                <w:kern w:val="0"/>
                <w:szCs w:val="21"/>
              </w:rPr>
              <w:t>国家级</w:t>
            </w:r>
          </w:p>
          <w:p>
            <w:pPr>
              <w:jc w:val="center"/>
              <w:rPr>
                <w:rFonts w:hint="default" w:ascii="Times New Roman" w:hAnsi="Times New Roman" w:cs="Times New Roman"/>
                <w:b/>
                <w:kern w:val="0"/>
                <w:szCs w:val="21"/>
              </w:rPr>
            </w:pPr>
            <w:r>
              <w:rPr>
                <w:rFonts w:hint="default" w:ascii="Times New Roman" w:hAnsi="Times New Roman" w:cs="Times New Roman"/>
                <w:b/>
                <w:kern w:val="0"/>
                <w:szCs w:val="21"/>
              </w:rPr>
              <w:t>刊物</w:t>
            </w:r>
          </w:p>
        </w:tc>
        <w:tc>
          <w:tcPr>
            <w:tcW w:w="992" w:type="dxa"/>
            <w:tcBorders>
              <w:top w:val="single" w:color="auto" w:sz="4" w:space="0"/>
              <w:left w:val="single" w:color="auto" w:sz="4" w:space="0"/>
              <w:bottom w:val="single" w:color="auto" w:sz="4" w:space="0"/>
              <w:right w:val="single" w:color="auto" w:sz="4" w:space="0"/>
            </w:tcBorders>
            <w:shd w:val="clear" w:color="auto" w:fill="C6D9F1"/>
            <w:vAlign w:val="center"/>
          </w:tcPr>
          <w:p>
            <w:pPr>
              <w:jc w:val="center"/>
              <w:rPr>
                <w:rFonts w:hint="default" w:ascii="Times New Roman" w:hAnsi="Times New Roman" w:cs="Times New Roman"/>
                <w:b/>
                <w:kern w:val="0"/>
                <w:szCs w:val="21"/>
              </w:rPr>
            </w:pPr>
            <w:r>
              <w:rPr>
                <w:rFonts w:hint="default" w:ascii="Times New Roman" w:hAnsi="Times New Roman" w:cs="Times New Roman"/>
                <w:b/>
                <w:kern w:val="0"/>
                <w:szCs w:val="21"/>
              </w:rPr>
              <w:t>省级</w:t>
            </w:r>
          </w:p>
          <w:p>
            <w:pPr>
              <w:jc w:val="center"/>
              <w:rPr>
                <w:rFonts w:hint="default" w:ascii="Times New Roman" w:hAnsi="Times New Roman" w:cs="Times New Roman"/>
                <w:b/>
                <w:kern w:val="0"/>
                <w:szCs w:val="21"/>
              </w:rPr>
            </w:pPr>
            <w:r>
              <w:rPr>
                <w:rFonts w:hint="default" w:ascii="Times New Roman" w:hAnsi="Times New Roman" w:cs="Times New Roman"/>
                <w:b/>
                <w:kern w:val="0"/>
                <w:szCs w:val="21"/>
              </w:rPr>
              <w:t>刊物</w:t>
            </w:r>
          </w:p>
        </w:tc>
        <w:tc>
          <w:tcPr>
            <w:tcW w:w="851" w:type="dxa"/>
            <w:tcBorders>
              <w:top w:val="single" w:color="auto" w:sz="4" w:space="0"/>
              <w:left w:val="single" w:color="auto" w:sz="4" w:space="0"/>
              <w:bottom w:val="single" w:color="auto" w:sz="4" w:space="0"/>
              <w:right w:val="single" w:color="auto" w:sz="4" w:space="0"/>
            </w:tcBorders>
            <w:shd w:val="clear" w:color="auto" w:fill="C6D9F1"/>
            <w:vAlign w:val="center"/>
          </w:tcPr>
          <w:p>
            <w:pPr>
              <w:pStyle w:val="5"/>
              <w:jc w:val="center"/>
              <w:rPr>
                <w:rFonts w:hint="default" w:ascii="Times New Roman" w:hAnsi="Times New Roman" w:cs="Times New Roman"/>
                <w:b/>
                <w:sz w:val="21"/>
                <w:szCs w:val="21"/>
              </w:rPr>
            </w:pPr>
            <w:bookmarkStart w:id="3" w:name="_Toc502099098"/>
            <w:r>
              <w:rPr>
                <w:rFonts w:hint="default" w:ascii="Times New Roman" w:hAnsi="Times New Roman" w:eastAsia="宋体" w:cs="Times New Roman"/>
                <w:b/>
                <w:sz w:val="21"/>
                <w:szCs w:val="21"/>
              </w:rPr>
              <w:t>市级</w:t>
            </w:r>
          </w:p>
          <w:p>
            <w:pPr>
              <w:pStyle w:val="5"/>
              <w:jc w:val="center"/>
              <w:rPr>
                <w:rFonts w:hint="default" w:ascii="Times New Roman" w:hAnsi="Times New Roman" w:cs="Times New Roman"/>
                <w:b/>
                <w:sz w:val="21"/>
                <w:szCs w:val="21"/>
              </w:rPr>
            </w:pPr>
            <w:r>
              <w:rPr>
                <w:rFonts w:hint="default" w:ascii="Times New Roman" w:hAnsi="Times New Roman" w:eastAsia="宋体" w:cs="Times New Roman"/>
                <w:b/>
                <w:sz w:val="21"/>
                <w:szCs w:val="21"/>
              </w:rPr>
              <w:t>刊物</w:t>
            </w:r>
            <w:bookmarkEnd w:id="3"/>
          </w:p>
        </w:tc>
        <w:tc>
          <w:tcPr>
            <w:tcW w:w="850" w:type="dxa"/>
            <w:tcBorders>
              <w:top w:val="single" w:color="auto" w:sz="4" w:space="0"/>
              <w:left w:val="single" w:color="auto" w:sz="4" w:space="0"/>
              <w:bottom w:val="single" w:color="auto" w:sz="4" w:space="0"/>
              <w:right w:val="single" w:color="auto" w:sz="4" w:space="0"/>
            </w:tcBorders>
            <w:shd w:val="clear" w:color="auto" w:fill="C6D9F1"/>
            <w:vAlign w:val="center"/>
          </w:tcPr>
          <w:p>
            <w:pPr>
              <w:pStyle w:val="5"/>
              <w:jc w:val="center"/>
              <w:rPr>
                <w:rFonts w:hint="default" w:ascii="Times New Roman" w:hAnsi="Times New Roman" w:cs="Times New Roman"/>
                <w:b/>
                <w:sz w:val="21"/>
                <w:szCs w:val="21"/>
              </w:rPr>
            </w:pPr>
            <w:bookmarkStart w:id="4" w:name="_Toc502099099"/>
            <w:r>
              <w:rPr>
                <w:rFonts w:hint="default" w:ascii="Times New Roman" w:hAnsi="Times New Roman" w:eastAsia="宋体" w:cs="Times New Roman"/>
                <w:b/>
                <w:sz w:val="21"/>
                <w:szCs w:val="21"/>
              </w:rPr>
              <w:t>国家级</w:t>
            </w:r>
            <w:bookmarkEnd w:id="4"/>
          </w:p>
        </w:tc>
        <w:tc>
          <w:tcPr>
            <w:tcW w:w="709" w:type="dxa"/>
            <w:tcBorders>
              <w:top w:val="single" w:color="auto" w:sz="4" w:space="0"/>
              <w:left w:val="single" w:color="auto" w:sz="4" w:space="0"/>
              <w:bottom w:val="single" w:color="auto" w:sz="4" w:space="0"/>
              <w:right w:val="single" w:color="auto" w:sz="4" w:space="0"/>
            </w:tcBorders>
            <w:shd w:val="clear" w:color="auto" w:fill="C6D9F1"/>
            <w:vAlign w:val="center"/>
          </w:tcPr>
          <w:p>
            <w:pPr>
              <w:pStyle w:val="5"/>
              <w:jc w:val="center"/>
              <w:rPr>
                <w:rFonts w:hint="default" w:ascii="Times New Roman" w:hAnsi="Times New Roman" w:cs="Times New Roman"/>
                <w:b/>
                <w:sz w:val="21"/>
                <w:szCs w:val="21"/>
              </w:rPr>
            </w:pPr>
            <w:bookmarkStart w:id="5" w:name="_Toc502099100"/>
            <w:r>
              <w:rPr>
                <w:rFonts w:hint="default" w:ascii="Times New Roman" w:hAnsi="Times New Roman" w:eastAsia="宋体" w:cs="Times New Roman"/>
                <w:b/>
                <w:sz w:val="21"/>
                <w:szCs w:val="21"/>
              </w:rPr>
              <w:t>省级</w:t>
            </w:r>
            <w:bookmarkEnd w:id="5"/>
          </w:p>
        </w:tc>
        <w:tc>
          <w:tcPr>
            <w:tcW w:w="709" w:type="dxa"/>
            <w:tcBorders>
              <w:top w:val="single" w:color="auto" w:sz="4" w:space="0"/>
              <w:left w:val="single" w:color="auto" w:sz="4" w:space="0"/>
              <w:bottom w:val="single" w:color="auto" w:sz="4" w:space="0"/>
              <w:right w:val="single" w:color="auto" w:sz="4" w:space="0"/>
            </w:tcBorders>
            <w:shd w:val="clear" w:color="auto" w:fill="C6D9F1"/>
            <w:vAlign w:val="center"/>
          </w:tcPr>
          <w:p>
            <w:pPr>
              <w:pStyle w:val="5"/>
              <w:jc w:val="center"/>
              <w:rPr>
                <w:rFonts w:hint="default" w:ascii="Times New Roman" w:hAnsi="Times New Roman" w:cs="Times New Roman"/>
                <w:b/>
                <w:sz w:val="21"/>
                <w:szCs w:val="21"/>
              </w:rPr>
            </w:pPr>
            <w:bookmarkStart w:id="6" w:name="_Toc502099101"/>
            <w:r>
              <w:rPr>
                <w:rFonts w:hint="default" w:ascii="Times New Roman" w:hAnsi="Times New Roman" w:eastAsia="宋体" w:cs="Times New Roman"/>
                <w:b/>
                <w:sz w:val="21"/>
                <w:szCs w:val="21"/>
              </w:rPr>
              <w:t>市级</w:t>
            </w:r>
            <w:bookmarkEnd w:id="6"/>
          </w:p>
        </w:tc>
        <w:tc>
          <w:tcPr>
            <w:tcW w:w="759" w:type="dxa"/>
            <w:tcBorders>
              <w:top w:val="single" w:color="auto" w:sz="4" w:space="0"/>
              <w:left w:val="single" w:color="auto" w:sz="4" w:space="0"/>
              <w:bottom w:val="single" w:color="auto" w:sz="4" w:space="0"/>
              <w:right w:val="single" w:color="auto" w:sz="4" w:space="0"/>
            </w:tcBorders>
            <w:shd w:val="clear" w:color="auto" w:fill="C6D9F1"/>
            <w:vAlign w:val="center"/>
          </w:tcPr>
          <w:p>
            <w:pPr>
              <w:pStyle w:val="5"/>
              <w:jc w:val="center"/>
              <w:rPr>
                <w:rFonts w:hint="default" w:ascii="Times New Roman" w:hAnsi="Times New Roman" w:cs="Times New Roman"/>
                <w:b/>
                <w:sz w:val="21"/>
                <w:szCs w:val="21"/>
              </w:rPr>
            </w:pPr>
            <w:bookmarkStart w:id="7" w:name="_Toc502099102"/>
            <w:r>
              <w:rPr>
                <w:rFonts w:hint="default" w:ascii="Times New Roman" w:hAnsi="Times New Roman" w:eastAsia="宋体" w:cs="Times New Roman"/>
                <w:b/>
                <w:sz w:val="21"/>
                <w:szCs w:val="21"/>
              </w:rPr>
              <w:t>县级</w:t>
            </w:r>
            <w:bookmarkEnd w:id="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27" w:type="dxa"/>
            <w:tcBorders>
              <w:top w:val="single" w:color="auto" w:sz="4" w:space="0"/>
              <w:left w:val="single" w:color="auto" w:sz="4" w:space="0"/>
              <w:bottom w:val="single" w:color="auto" w:sz="4" w:space="0"/>
              <w:right w:val="single" w:color="auto" w:sz="4" w:space="0"/>
            </w:tcBorders>
            <w:vAlign w:val="center"/>
          </w:tcPr>
          <w:p>
            <w:pPr>
              <w:pStyle w:val="5"/>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w:t>
            </w:r>
          </w:p>
        </w:tc>
        <w:tc>
          <w:tcPr>
            <w:tcW w:w="719" w:type="dxa"/>
            <w:tcBorders>
              <w:top w:val="single" w:color="auto" w:sz="4" w:space="0"/>
              <w:left w:val="single" w:color="auto" w:sz="4" w:space="0"/>
              <w:bottom w:val="single" w:color="auto" w:sz="4" w:space="0"/>
              <w:right w:val="single" w:color="auto" w:sz="4" w:space="0"/>
            </w:tcBorders>
            <w:vAlign w:val="center"/>
          </w:tcPr>
          <w:p>
            <w:pPr>
              <w:pStyle w:val="5"/>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w:t>
            </w:r>
          </w:p>
        </w:tc>
        <w:tc>
          <w:tcPr>
            <w:tcW w:w="1256" w:type="dxa"/>
            <w:tcBorders>
              <w:top w:val="single" w:color="auto" w:sz="4" w:space="0"/>
              <w:left w:val="single" w:color="auto" w:sz="4" w:space="0"/>
              <w:bottom w:val="single" w:color="auto" w:sz="4" w:space="0"/>
              <w:right w:val="single" w:color="auto" w:sz="4" w:space="0"/>
            </w:tcBorders>
            <w:vAlign w:val="center"/>
          </w:tcPr>
          <w:p>
            <w:pPr>
              <w:pStyle w:val="5"/>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0</w:t>
            </w:r>
          </w:p>
        </w:tc>
        <w:tc>
          <w:tcPr>
            <w:tcW w:w="850" w:type="dxa"/>
            <w:tcBorders>
              <w:top w:val="single" w:color="auto" w:sz="4" w:space="0"/>
              <w:left w:val="single" w:color="auto" w:sz="4" w:space="0"/>
              <w:bottom w:val="single" w:color="auto" w:sz="4" w:space="0"/>
              <w:right w:val="single" w:color="auto" w:sz="4" w:space="0"/>
            </w:tcBorders>
            <w:vAlign w:val="center"/>
          </w:tcPr>
          <w:p>
            <w:pPr>
              <w:pStyle w:val="5"/>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7</w:t>
            </w:r>
          </w:p>
        </w:tc>
        <w:tc>
          <w:tcPr>
            <w:tcW w:w="992" w:type="dxa"/>
            <w:tcBorders>
              <w:top w:val="single" w:color="auto" w:sz="4" w:space="0"/>
              <w:left w:val="single" w:color="auto" w:sz="4" w:space="0"/>
              <w:bottom w:val="single" w:color="auto" w:sz="4" w:space="0"/>
              <w:right w:val="single" w:color="auto" w:sz="4" w:space="0"/>
            </w:tcBorders>
            <w:vAlign w:val="center"/>
          </w:tcPr>
          <w:p>
            <w:pPr>
              <w:pStyle w:val="5"/>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w:t>
            </w:r>
          </w:p>
        </w:tc>
        <w:tc>
          <w:tcPr>
            <w:tcW w:w="851" w:type="dxa"/>
            <w:tcBorders>
              <w:top w:val="single" w:color="auto" w:sz="4" w:space="0"/>
              <w:left w:val="single" w:color="auto" w:sz="4" w:space="0"/>
              <w:bottom w:val="single" w:color="auto" w:sz="4" w:space="0"/>
              <w:right w:val="single" w:color="auto" w:sz="4" w:space="0"/>
            </w:tcBorders>
            <w:vAlign w:val="center"/>
          </w:tcPr>
          <w:p>
            <w:pPr>
              <w:pStyle w:val="5"/>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 xml:space="preserve"> 0</w:t>
            </w:r>
          </w:p>
        </w:tc>
        <w:tc>
          <w:tcPr>
            <w:tcW w:w="850" w:type="dxa"/>
            <w:tcBorders>
              <w:top w:val="single" w:color="auto" w:sz="4" w:space="0"/>
              <w:left w:val="single" w:color="auto" w:sz="4" w:space="0"/>
              <w:bottom w:val="single" w:color="auto" w:sz="4" w:space="0"/>
              <w:right w:val="single" w:color="auto" w:sz="4" w:space="0"/>
            </w:tcBorders>
            <w:vAlign w:val="center"/>
          </w:tcPr>
          <w:p>
            <w:pPr>
              <w:pStyle w:val="5"/>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0</w:t>
            </w:r>
          </w:p>
        </w:tc>
        <w:tc>
          <w:tcPr>
            <w:tcW w:w="709" w:type="dxa"/>
            <w:tcBorders>
              <w:top w:val="single" w:color="auto" w:sz="4" w:space="0"/>
              <w:left w:val="single" w:color="auto" w:sz="4" w:space="0"/>
              <w:bottom w:val="single" w:color="auto" w:sz="4" w:space="0"/>
              <w:right w:val="single" w:color="auto" w:sz="4" w:space="0"/>
            </w:tcBorders>
            <w:vAlign w:val="center"/>
          </w:tcPr>
          <w:p>
            <w:pPr>
              <w:pStyle w:val="5"/>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0</w:t>
            </w:r>
          </w:p>
        </w:tc>
        <w:tc>
          <w:tcPr>
            <w:tcW w:w="709" w:type="dxa"/>
            <w:tcBorders>
              <w:top w:val="single" w:color="auto" w:sz="4" w:space="0"/>
              <w:left w:val="single" w:color="auto" w:sz="4" w:space="0"/>
              <w:bottom w:val="single" w:color="auto" w:sz="4" w:space="0"/>
              <w:right w:val="single" w:color="auto" w:sz="4" w:space="0"/>
            </w:tcBorders>
            <w:vAlign w:val="center"/>
          </w:tcPr>
          <w:p>
            <w:pPr>
              <w:pStyle w:val="5"/>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0</w:t>
            </w:r>
          </w:p>
        </w:tc>
        <w:tc>
          <w:tcPr>
            <w:tcW w:w="759" w:type="dxa"/>
            <w:tcBorders>
              <w:top w:val="single" w:color="auto" w:sz="4" w:space="0"/>
              <w:left w:val="single" w:color="auto" w:sz="4" w:space="0"/>
              <w:bottom w:val="single" w:color="auto" w:sz="4" w:space="0"/>
              <w:right w:val="single" w:color="auto" w:sz="4" w:space="0"/>
            </w:tcBorders>
            <w:vAlign w:val="center"/>
          </w:tcPr>
          <w:p>
            <w:pPr>
              <w:pStyle w:val="5"/>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0</w:t>
            </w:r>
          </w:p>
        </w:tc>
      </w:tr>
    </w:tbl>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3.1.5 人才培养模式改革</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学校在人才培养过程中，主动对接我省支柱产业和优先发展产业，适应区域经济结构战略性调整对专业人才的需求，积极开展人才培养模式改革，打造我校专业特色，拓展专业发展空间。汽修专业依托德阳市汽车职教联盟和旌阳区汽修协会，探索“四元合一”管理体系下的“四位一体”人才培养模式，实施现代学徒制人才培养模式试点并取得很好的成绩。电子商务专业依托学校电子商务孵化园，引企入校，发挥校企合作长效机制，在专业建设指导委员会指导下，形成了“双创+”人才培养模式，即设计学生创新、创业项目，创业项目不局限在课后完成，而是整个专业学习的重要组成部分，使学生培养的过程始终与创新、创业同步进行、相互促进，两者有机结合，使创业教育的学习成为今后可持续发展的基础。会计专业深入中小微企业、村集体、农民专业合作社进行典型工作岗位能力，结合人才市场对人才的需求，构建了工学结合人才培养模式航空服务专业利用校内实训基地，开展工作情景理实一体人才培养模式改革。</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人才培养方面，学校及时了解和掌握市场对专业人才需求的新变化和新特点，分析用人单位对专业人才的知识、能力和素质要求，明确专业人才培养的职业面向、就业岗位和培养规格。在教学中，专业实训课教学积极推行项目教学为核心的行动导向教学法，坚持“教、学、做”合一的教学原则，大力倡导任务教学法，大量运用案例教学法、模拟教学法、角色扮演法、场景教学法等适合中职学生特点的教学方法，“在做中教、在做中学”，达到理论实践一体化，增强专业课教学的针对性和实效性。</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同时，各专业积极改革教学评价模式，构建德智体美劳五育并举的考核体系，全面提升学生综合素质，提高教育教学质量和学生专业技能水平。</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3.1.6 实训基地</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学校把“深化教育教学改革，提高人才培养质量”作为重点任务，各专业均采取校企合作模式和订单式培养的探索，强化实用技能型人才培养，与企业深度融合，共建联合培养基地，共同制定培养方案，使人才培养与行业企业需求有效对接，推进产教融合，强化协同育人，校企共建实现基地取得丰硕成果。一是深入贯彻职教改革“国二十条”，不断深化产教融合，校企合作。学校引企入校，并与旌阳区汽修协会签订战略合作协议，拓展汽修实训基地，先后与20多家汽修厂建立产教协同育人的实训基地，积极在汽修专业开展“现代学徒制”试点。电子商务专业与京东、德阳棚花农业电子商务公司等大型企业开展合作，共建实训基地，开启“产教融合”实战教学模式。此外，电商专业依托四川省农村电子商务研究所、四川省农村电子商务协会，致力于农村电子商务的研究、规划及农村电商互助，在行业领域取得了显著成效，并有力地带动了地方产业的发展.航空服务专业签约福建福州普华永道有限公司，开展为高铁系统培养人才的深度合作，建立见习、跟岗实习、顶岗实习“三个递进”的工学交替培养模式，学生提前了解企业文化、熟悉岗位和行业，就业得到保障。二是贯彻落实“服务产业”的战略部署，学校与四川供销电子商务有限责任公司等20余家企业签署校企战略合作协议，共同打造校企协同育人合作平台，培养培训兼具民航服务的实用技能型人才。</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3.1.7  信息化教学</w:t>
      </w:r>
    </w:p>
    <w:p>
      <w:pPr>
        <w:pStyle w:val="5"/>
        <w:shd w:val="clear" w:color="auto" w:fill="FFFFFF"/>
        <w:spacing w:line="240" w:lineRule="atLeast"/>
        <w:jc w:val="center"/>
        <w:rPr>
          <w:rFonts w:hint="default" w:ascii="Times New Roman" w:hAnsi="Times New Roman" w:eastAsia="黑体" w:cs="Times New Roman"/>
          <w:b/>
          <w:bCs/>
        </w:rPr>
      </w:pPr>
      <w:r>
        <w:rPr>
          <w:rFonts w:hint="default" w:ascii="Times New Roman" w:hAnsi="Times New Roman" w:eastAsia="黑体" w:cs="Times New Roman"/>
          <w:b/>
          <w:bCs/>
        </w:rPr>
        <w:t>表</w:t>
      </w:r>
      <w:r>
        <w:rPr>
          <w:rFonts w:hint="default" w:ascii="Times New Roman" w:hAnsi="Times New Roman" w:eastAsia="黑体" w:cs="Times New Roman"/>
          <w:b/>
          <w:bCs/>
          <w:lang w:val="en-US" w:eastAsia="zh-CN"/>
        </w:rPr>
        <w:t>3-4</w:t>
      </w:r>
      <w:r>
        <w:rPr>
          <w:rFonts w:hint="default" w:ascii="Times New Roman" w:hAnsi="Times New Roman" w:eastAsia="黑体" w:cs="Times New Roman"/>
          <w:b/>
          <w:bCs/>
        </w:rPr>
        <w:t xml:space="preserve">   </w:t>
      </w:r>
      <w:r>
        <w:rPr>
          <w:rFonts w:hint="default" w:ascii="Times New Roman" w:hAnsi="Times New Roman" w:eastAsia="黑体" w:cs="Times New Roman"/>
          <w:b/>
          <w:bCs/>
        </w:rPr>
        <w:t>20</w:t>
      </w:r>
      <w:r>
        <w:rPr>
          <w:rFonts w:hint="default" w:ascii="Times New Roman" w:hAnsi="Times New Roman" w:eastAsia="黑体" w:cs="Times New Roman"/>
          <w:b/>
          <w:bCs/>
        </w:rPr>
        <w:t>20</w:t>
      </w:r>
      <w:r>
        <w:rPr>
          <w:rFonts w:hint="default" w:ascii="Times New Roman" w:hAnsi="Times New Roman" w:eastAsia="黑体" w:cs="Times New Roman"/>
          <w:b/>
          <w:bCs/>
        </w:rPr>
        <w:t>-202</w:t>
      </w:r>
      <w:r>
        <w:rPr>
          <w:rFonts w:hint="default" w:ascii="Times New Roman" w:hAnsi="Times New Roman" w:eastAsia="黑体" w:cs="Times New Roman"/>
          <w:b/>
          <w:bCs/>
        </w:rPr>
        <w:t>1</w:t>
      </w:r>
      <w:r>
        <w:rPr>
          <w:rFonts w:hint="default" w:ascii="Times New Roman" w:hAnsi="Times New Roman" w:eastAsia="黑体" w:cs="Times New Roman"/>
          <w:b/>
          <w:bCs/>
        </w:rPr>
        <w:t>学年学校教师科研能力提升发展情况</w:t>
      </w:r>
    </w:p>
    <w:tbl>
      <w:tblPr>
        <w:tblStyle w:val="6"/>
        <w:tblpPr w:leftFromText="180" w:rightFromText="180" w:vertAnchor="text" w:horzAnchor="page" w:tblpX="2189" w:tblpY="68"/>
        <w:tblOverlap w:val="never"/>
        <w:tblW w:w="76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9"/>
        <w:gridCol w:w="3372"/>
        <w:gridCol w:w="1079"/>
        <w:gridCol w:w="108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3372" w:type="dxa"/>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指标</w:t>
            </w:r>
          </w:p>
        </w:tc>
        <w:tc>
          <w:tcPr>
            <w:tcW w:w="1079" w:type="dxa"/>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2020</w:t>
            </w:r>
            <w:r>
              <w:rPr>
                <w:rFonts w:hint="default" w:ascii="Times New Roman" w:hAnsi="Times New Roman" w:eastAsia="宋体" w:cs="Times New Roman"/>
                <w:b/>
                <w:bCs/>
                <w:i w:val="0"/>
                <w:iCs w:val="0"/>
                <w:color w:val="000000"/>
                <w:kern w:val="0"/>
                <w:sz w:val="21"/>
                <w:szCs w:val="21"/>
                <w:u w:val="none"/>
                <w:lang w:val="en-US" w:eastAsia="zh-CN" w:bidi="ar"/>
              </w:rPr>
              <w:t>年</w:t>
            </w:r>
          </w:p>
        </w:tc>
        <w:tc>
          <w:tcPr>
            <w:tcW w:w="1080" w:type="dxa"/>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2021</w:t>
            </w:r>
            <w:r>
              <w:rPr>
                <w:rFonts w:hint="default" w:ascii="Times New Roman" w:hAnsi="Times New Roman" w:eastAsia="宋体" w:cs="Times New Roman"/>
                <w:b/>
                <w:bCs/>
                <w:i w:val="0"/>
                <w:iCs w:val="0"/>
                <w:color w:val="000000"/>
                <w:kern w:val="0"/>
                <w:sz w:val="21"/>
                <w:szCs w:val="21"/>
                <w:u w:val="none"/>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1</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是否设立教育信息化技术中心</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2</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*校园网主干最大宽带</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Mbps</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10000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3</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网络多媒体教室数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71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4</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上网课程总量</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5</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*电子图书数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51239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51239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6</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生均电子图书</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册/生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24.93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23.83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7</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教学用计算机台数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1111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8</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生均教学用计算机台数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9</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是否建立协同办公系统</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10</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是否建立学校门户网站</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11</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是否建立教务管理系统</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12</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是否建立课程资源库储存教案、讲义等材料</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13</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是否建立课程直播、录播平台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14</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是否建立学生和教师的互动学习应用</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15</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是否建立课程资源共享应用</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否</w:t>
            </w:r>
          </w:p>
        </w:tc>
      </w:tr>
    </w:tbl>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3.1.8教学资源建设</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学校各专业实训场所充足。各实训室的设施设备一流，专业设备配置齐全。各专业校内教学必备的实训场所建设完善，各实训室教学仪器、设备和设施配备较充足，可以较好地满足学生的实训教学要求。多媒体教室、信息化设备、校园网、工作室等齐全，这为教学的正常开展提供了保障。</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学校以示范校建设为契机，深入开展“三教”改革，不断提升教师技职业素养，本年度开发精品课程9门，每门课程建有题库、习题集、微课、课件等教学资源，充实了学校现有教学资源。</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3.1.</w:t>
      </w: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教材选用</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学校严格执行《国家职业院校教材管理办法》，成立了教材选用委员会，制定了《四川省商贸学校教材选用与管理制度》，规范了教材选用流程，本年度学校语文、历史、数学教材均选用国家统编教材，其他课程均选自国家规划教材目录，未以职业培训讲义代替教材。</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3.2专业动态调整。</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切实加强专业建设，使各专业更好地对接产业，培养与社会发展、区域经济建设紧密结合的技术技能型人才，学校成立了以教学校长牵头，各专业负责人、骨干教师、行业专家共同参与的专业建设指导委员会，开展区域产业结构与学校专业结构吻合度调研，明确学校专业调整思路，调整了电子电器应用与维修专业、会计事务等专业的规模，优化专业结构，目前学校共设十一个专业，专业结构与当地产业吻合度达到60%。</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3.3教师培养。</w:t>
      </w:r>
    </w:p>
    <w:p>
      <w:pPr>
        <w:pStyle w:val="5"/>
        <w:shd w:val="clear" w:color="auto" w:fill="FFFFFF"/>
        <w:spacing w:line="240" w:lineRule="atLeast"/>
        <w:jc w:val="center"/>
        <w:rPr>
          <w:rFonts w:hint="default" w:ascii="Times New Roman" w:hAnsi="Times New Roman" w:eastAsia="黑体" w:cs="Times New Roman"/>
          <w:b/>
          <w:bCs/>
        </w:rPr>
      </w:pPr>
      <w:r>
        <w:rPr>
          <w:rFonts w:hint="default" w:ascii="Times New Roman" w:hAnsi="Times New Roman" w:eastAsia="黑体" w:cs="Times New Roman"/>
          <w:b/>
          <w:bCs/>
        </w:rPr>
        <w:t>表</w:t>
      </w:r>
      <w:r>
        <w:rPr>
          <w:rFonts w:hint="default" w:ascii="Times New Roman" w:hAnsi="Times New Roman" w:eastAsia="黑体" w:cs="Times New Roman"/>
          <w:b/>
          <w:bCs/>
          <w:lang w:val="en-US" w:eastAsia="zh-CN"/>
        </w:rPr>
        <w:t>3-</w:t>
      </w:r>
      <w:r>
        <w:rPr>
          <w:rFonts w:hint="eastAsia" w:ascii="Times New Roman" w:hAnsi="Times New Roman" w:eastAsia="黑体" w:cs="Times New Roman"/>
          <w:b/>
          <w:bCs/>
          <w:lang w:val="en-US" w:eastAsia="zh-CN"/>
        </w:rPr>
        <w:t>5</w:t>
      </w:r>
      <w:r>
        <w:rPr>
          <w:rFonts w:hint="default" w:ascii="Times New Roman" w:hAnsi="Times New Roman" w:eastAsia="黑体" w:cs="Times New Roman"/>
          <w:b/>
          <w:bCs/>
        </w:rPr>
        <w:t xml:space="preserve">   2020-2021学年学校教师</w:t>
      </w:r>
      <w:r>
        <w:rPr>
          <w:rFonts w:hint="eastAsia" w:ascii="Times New Roman" w:hAnsi="Times New Roman" w:eastAsia="黑体" w:cs="Times New Roman"/>
          <w:b/>
          <w:bCs/>
          <w:lang w:val="en-US" w:eastAsia="zh-CN"/>
        </w:rPr>
        <w:t>培养</w:t>
      </w:r>
      <w:r>
        <w:rPr>
          <w:rFonts w:hint="default" w:ascii="Times New Roman" w:hAnsi="Times New Roman" w:eastAsia="黑体" w:cs="Times New Roman"/>
          <w:b/>
          <w:bCs/>
        </w:rPr>
        <w:t>提升情况</w:t>
      </w:r>
    </w:p>
    <w:tbl>
      <w:tblPr>
        <w:tblStyle w:val="6"/>
        <w:tblpPr w:leftFromText="180" w:rightFromText="180" w:vertAnchor="text" w:horzAnchor="page" w:tblpX="2589" w:tblpY="329"/>
        <w:tblOverlap w:val="never"/>
        <w:tblW w:w="76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9"/>
        <w:gridCol w:w="3372"/>
        <w:gridCol w:w="1079"/>
        <w:gridCol w:w="108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3372" w:type="dxa"/>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指标</w:t>
            </w:r>
          </w:p>
        </w:tc>
        <w:tc>
          <w:tcPr>
            <w:tcW w:w="1079" w:type="dxa"/>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2020</w:t>
            </w:r>
            <w:r>
              <w:rPr>
                <w:rStyle w:val="17"/>
                <w:lang w:val="en-US" w:eastAsia="zh-CN" w:bidi="ar"/>
              </w:rPr>
              <w:t>年</w:t>
            </w:r>
          </w:p>
        </w:tc>
        <w:tc>
          <w:tcPr>
            <w:tcW w:w="1080" w:type="dxa"/>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2021</w:t>
            </w:r>
            <w:r>
              <w:rPr>
                <w:rStyle w:val="17"/>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1</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*名班主任工作室数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等线" w:cs="Times New Roman"/>
                <w:b/>
                <w:bCs/>
                <w:i w:val="0"/>
                <w:iCs w:val="0"/>
                <w:color w:val="000000"/>
                <w:sz w:val="21"/>
                <w:szCs w:val="21"/>
                <w:u w:val="none"/>
              </w:rPr>
            </w:pP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 xml:space="preserve">      </w:t>
            </w:r>
            <w:r>
              <w:rPr>
                <w:rStyle w:val="18"/>
                <w:lang w:val="en-US" w:eastAsia="zh-CN" w:bidi="ar"/>
              </w:rPr>
              <w:t>其中：国家级</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等线" w:cs="Times New Roman"/>
                <w:b/>
                <w:bCs/>
                <w:i w:val="0"/>
                <w:iCs w:val="0"/>
                <w:color w:val="000000"/>
                <w:sz w:val="21"/>
                <w:szCs w:val="21"/>
                <w:u w:val="none"/>
              </w:rPr>
            </w:pP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 xml:space="preserve">            </w:t>
            </w:r>
            <w:r>
              <w:rPr>
                <w:rStyle w:val="18"/>
                <w:lang w:val="en-US" w:eastAsia="zh-CN" w:bidi="ar"/>
              </w:rPr>
              <w:t>省级</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等线" w:cs="Times New Roman"/>
                <w:b/>
                <w:bCs/>
                <w:i w:val="0"/>
                <w:iCs w:val="0"/>
                <w:color w:val="000000"/>
                <w:sz w:val="21"/>
                <w:szCs w:val="21"/>
                <w:u w:val="none"/>
              </w:rPr>
            </w:pP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 xml:space="preserve">            </w:t>
            </w:r>
            <w:r>
              <w:rPr>
                <w:rStyle w:val="18"/>
                <w:lang w:val="en-US" w:eastAsia="zh-CN" w:bidi="ar"/>
              </w:rPr>
              <w:t>地市级</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2</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*思想政治课教学创新团队</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等线" w:cs="Times New Roman"/>
                <w:b/>
                <w:bCs/>
                <w:i w:val="0"/>
                <w:iCs w:val="0"/>
                <w:color w:val="000000"/>
                <w:sz w:val="21"/>
                <w:szCs w:val="21"/>
                <w:u w:val="none"/>
              </w:rPr>
            </w:pP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 xml:space="preserve">      </w:t>
            </w:r>
            <w:r>
              <w:rPr>
                <w:rStyle w:val="18"/>
                <w:lang w:val="en-US" w:eastAsia="zh-CN" w:bidi="ar"/>
              </w:rPr>
              <w:t>其中：国家级</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等线" w:cs="Times New Roman"/>
                <w:b/>
                <w:bCs/>
                <w:i w:val="0"/>
                <w:iCs w:val="0"/>
                <w:color w:val="000000"/>
                <w:sz w:val="21"/>
                <w:szCs w:val="21"/>
                <w:u w:val="none"/>
              </w:rPr>
            </w:pP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 xml:space="preserve">            </w:t>
            </w:r>
            <w:r>
              <w:rPr>
                <w:rStyle w:val="18"/>
                <w:lang w:val="en-US" w:eastAsia="zh-CN" w:bidi="ar"/>
              </w:rPr>
              <w:t>省级</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等线" w:cs="Times New Roman"/>
                <w:b/>
                <w:bCs/>
                <w:i w:val="0"/>
                <w:iCs w:val="0"/>
                <w:color w:val="000000"/>
                <w:sz w:val="21"/>
                <w:szCs w:val="21"/>
                <w:u w:val="none"/>
              </w:rPr>
            </w:pP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 xml:space="preserve">            </w:t>
            </w:r>
            <w:r>
              <w:rPr>
                <w:rStyle w:val="18"/>
                <w:lang w:val="en-US" w:eastAsia="zh-CN" w:bidi="ar"/>
              </w:rPr>
              <w:t>地市级</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3</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*思想政治课示范课堂数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等线" w:cs="Times New Roman"/>
                <w:b/>
                <w:bCs/>
                <w:i w:val="0"/>
                <w:iCs w:val="0"/>
                <w:color w:val="000000"/>
                <w:sz w:val="21"/>
                <w:szCs w:val="21"/>
                <w:u w:val="none"/>
              </w:rPr>
            </w:pP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 xml:space="preserve">      </w:t>
            </w:r>
            <w:r>
              <w:rPr>
                <w:rStyle w:val="18"/>
                <w:lang w:val="en-US" w:eastAsia="zh-CN" w:bidi="ar"/>
              </w:rPr>
              <w:t>其中：国家级</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等线" w:cs="Times New Roman"/>
                <w:b/>
                <w:bCs/>
                <w:i w:val="0"/>
                <w:iCs w:val="0"/>
                <w:color w:val="000000"/>
                <w:sz w:val="21"/>
                <w:szCs w:val="21"/>
                <w:u w:val="none"/>
              </w:rPr>
            </w:pP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 xml:space="preserve">            </w:t>
            </w:r>
            <w:r>
              <w:rPr>
                <w:rStyle w:val="18"/>
                <w:lang w:val="en-US" w:eastAsia="zh-CN" w:bidi="ar"/>
              </w:rPr>
              <w:t>省级</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4</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参加区县级培训专任教师数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等线" w:cs="Times New Roman"/>
                <w:b/>
                <w:bCs/>
                <w:i w:val="0"/>
                <w:iCs w:val="0"/>
                <w:color w:val="000000"/>
                <w:sz w:val="21"/>
                <w:szCs w:val="21"/>
                <w:u w:val="none"/>
              </w:rPr>
            </w:pP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参加市级培训专任教师数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等线" w:cs="Times New Roman"/>
                <w:b/>
                <w:bCs/>
                <w:i w:val="0"/>
                <w:iCs w:val="0"/>
                <w:color w:val="000000"/>
                <w:sz w:val="21"/>
                <w:szCs w:val="21"/>
                <w:u w:val="none"/>
              </w:rPr>
            </w:pP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参加省级培训专任教师数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等线" w:cs="Times New Roman"/>
                <w:b/>
                <w:bCs/>
                <w:i w:val="0"/>
                <w:iCs w:val="0"/>
                <w:color w:val="000000"/>
                <w:sz w:val="21"/>
                <w:szCs w:val="21"/>
                <w:u w:val="none"/>
              </w:rPr>
            </w:pP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参加国家级培训专任教师数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等线" w:cs="Times New Roman"/>
                <w:b/>
                <w:bCs/>
                <w:i w:val="0"/>
                <w:iCs w:val="0"/>
                <w:color w:val="000000"/>
                <w:sz w:val="21"/>
                <w:szCs w:val="21"/>
                <w:u w:val="none"/>
              </w:rPr>
            </w:pP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参加国外培训专任教师数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等线" w:cs="Times New Roman"/>
                <w:b/>
                <w:bCs/>
                <w:i w:val="0"/>
                <w:iCs w:val="0"/>
                <w:color w:val="000000"/>
                <w:sz w:val="21"/>
                <w:szCs w:val="21"/>
                <w:u w:val="none"/>
              </w:rPr>
            </w:pP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参加境外培训专任教师数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5</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教师参加学历提升获得毕业证书人数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6</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教师参加国家级教学或技能大赛人数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等线" w:cs="Times New Roman"/>
                <w:b/>
                <w:bCs/>
                <w:i w:val="0"/>
                <w:iCs w:val="0"/>
                <w:color w:val="000000"/>
                <w:sz w:val="21"/>
                <w:szCs w:val="21"/>
                <w:u w:val="none"/>
              </w:rPr>
            </w:pP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其中一等奖获得人数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等线" w:cs="Times New Roman"/>
                <w:b/>
                <w:bCs/>
                <w:i w:val="0"/>
                <w:iCs w:val="0"/>
                <w:color w:val="000000"/>
                <w:sz w:val="21"/>
                <w:szCs w:val="21"/>
                <w:u w:val="none"/>
              </w:rPr>
            </w:pP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其中二等奖获得人数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等线" w:cs="Times New Roman"/>
                <w:b/>
                <w:bCs/>
                <w:i w:val="0"/>
                <w:iCs w:val="0"/>
                <w:color w:val="000000"/>
                <w:sz w:val="21"/>
                <w:szCs w:val="21"/>
                <w:u w:val="none"/>
              </w:rPr>
            </w:pP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其中三等奖获得人数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7</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教师参加省级教学或技能大赛人数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等线" w:cs="Times New Roman"/>
                <w:b/>
                <w:bCs/>
                <w:i w:val="0"/>
                <w:iCs w:val="0"/>
                <w:color w:val="000000"/>
                <w:sz w:val="21"/>
                <w:szCs w:val="21"/>
                <w:u w:val="none"/>
              </w:rPr>
            </w:pP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其中一等奖获得人数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等线" w:cs="Times New Roman"/>
                <w:b/>
                <w:bCs/>
                <w:i w:val="0"/>
                <w:iCs w:val="0"/>
                <w:color w:val="000000"/>
                <w:sz w:val="21"/>
                <w:szCs w:val="21"/>
                <w:u w:val="none"/>
              </w:rPr>
            </w:pP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其中二等奖获得人数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等线" w:cs="Times New Roman"/>
                <w:b/>
                <w:bCs/>
                <w:i w:val="0"/>
                <w:iCs w:val="0"/>
                <w:color w:val="000000"/>
                <w:sz w:val="21"/>
                <w:szCs w:val="21"/>
                <w:u w:val="none"/>
              </w:rPr>
            </w:pP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其中三等奖获得人数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8</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教师参加市级教学或技能大赛人数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等线" w:cs="Times New Roman"/>
                <w:b/>
                <w:bCs/>
                <w:i w:val="0"/>
                <w:iCs w:val="0"/>
                <w:color w:val="000000"/>
                <w:sz w:val="21"/>
                <w:szCs w:val="21"/>
                <w:u w:val="none"/>
              </w:rPr>
            </w:pP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其中一等奖获得人数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等线" w:cs="Times New Roman"/>
                <w:b/>
                <w:bCs/>
                <w:i w:val="0"/>
                <w:iCs w:val="0"/>
                <w:color w:val="000000"/>
                <w:sz w:val="21"/>
                <w:szCs w:val="21"/>
                <w:u w:val="none"/>
              </w:rPr>
            </w:pP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其中二等奖获得人数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0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等线" w:cs="Times New Roman"/>
                <w:b/>
                <w:bCs/>
                <w:i w:val="0"/>
                <w:iCs w:val="0"/>
                <w:color w:val="000000"/>
                <w:sz w:val="21"/>
                <w:szCs w:val="21"/>
                <w:u w:val="none"/>
              </w:rPr>
            </w:pP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其中三等奖获得人数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r>
    </w:tbl>
    <w:p>
      <w:pPr>
        <w:spacing w:line="360" w:lineRule="auto"/>
        <w:ind w:firstLine="600"/>
        <w:rPr>
          <w:rFonts w:hint="default" w:ascii="Times New Roman" w:hAnsi="Times New Roman" w:eastAsia="仿宋_GB2312" w:cs="Times New Roman"/>
          <w:sz w:val="32"/>
          <w:szCs w:val="32"/>
        </w:rPr>
      </w:pPr>
    </w:p>
    <w:p>
      <w:pPr>
        <w:pStyle w:val="2"/>
        <w:rPr>
          <w:rFonts w:hint="default" w:ascii="Times New Roman" w:hAnsi="Times New Roman" w:eastAsia="仿宋_GB2312" w:cs="Times New Roman"/>
          <w:sz w:val="32"/>
          <w:szCs w:val="32"/>
        </w:rPr>
      </w:pPr>
    </w:p>
    <w:p>
      <w:pPr>
        <w:pStyle w:val="2"/>
        <w:rPr>
          <w:rFonts w:hint="default" w:ascii="Times New Roman" w:hAnsi="Times New Roman" w:eastAsia="仿宋_GB2312" w:cs="Times New Roman"/>
          <w:sz w:val="32"/>
          <w:szCs w:val="32"/>
        </w:rPr>
      </w:pPr>
    </w:p>
    <w:p>
      <w:pPr>
        <w:spacing w:line="360" w:lineRule="auto"/>
        <w:ind w:firstLine="600"/>
        <w:rPr>
          <w:rFonts w:hint="default" w:ascii="Times New Roman" w:hAnsi="Times New Roman" w:eastAsia="仿宋_GB2312" w:cs="Times New Roman"/>
          <w:sz w:val="32"/>
          <w:szCs w:val="32"/>
        </w:rPr>
      </w:pPr>
    </w:p>
    <w:p>
      <w:pPr>
        <w:spacing w:line="360" w:lineRule="auto"/>
        <w:ind w:firstLine="600"/>
        <w:rPr>
          <w:rFonts w:hint="default" w:ascii="Times New Roman" w:hAnsi="Times New Roman" w:eastAsia="仿宋_GB2312" w:cs="Times New Roman"/>
          <w:sz w:val="32"/>
          <w:szCs w:val="32"/>
        </w:rPr>
      </w:pPr>
    </w:p>
    <w:p>
      <w:pPr>
        <w:spacing w:line="360" w:lineRule="auto"/>
        <w:ind w:firstLine="600"/>
        <w:rPr>
          <w:rFonts w:hint="default" w:ascii="Times New Roman" w:hAnsi="Times New Roman" w:eastAsia="仿宋_GB2312" w:cs="Times New Roman"/>
          <w:sz w:val="32"/>
          <w:szCs w:val="32"/>
        </w:rPr>
      </w:pPr>
    </w:p>
    <w:p>
      <w:pPr>
        <w:spacing w:line="360" w:lineRule="auto"/>
        <w:ind w:firstLine="6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4.</w:t>
      </w:r>
    </w:p>
    <w:p>
      <w:pPr>
        <w:spacing w:line="360" w:lineRule="auto"/>
        <w:ind w:firstLine="600"/>
        <w:rPr>
          <w:rFonts w:hint="default" w:ascii="Times New Roman" w:hAnsi="Times New Roman" w:eastAsia="黑体" w:cs="Times New Roman"/>
          <w:sz w:val="32"/>
          <w:szCs w:val="32"/>
        </w:rPr>
      </w:pPr>
    </w:p>
    <w:p>
      <w:pPr>
        <w:spacing w:line="360" w:lineRule="auto"/>
        <w:ind w:firstLine="600"/>
        <w:rPr>
          <w:rFonts w:hint="default" w:ascii="Times New Roman" w:hAnsi="Times New Roman" w:eastAsia="黑体" w:cs="Times New Roman"/>
          <w:sz w:val="32"/>
          <w:szCs w:val="32"/>
        </w:rPr>
      </w:pPr>
    </w:p>
    <w:p>
      <w:pPr>
        <w:spacing w:line="360" w:lineRule="auto"/>
        <w:ind w:firstLine="600"/>
        <w:rPr>
          <w:rFonts w:hint="default" w:ascii="Times New Roman" w:hAnsi="Times New Roman" w:eastAsia="黑体" w:cs="Times New Roman"/>
          <w:sz w:val="32"/>
          <w:szCs w:val="32"/>
        </w:rPr>
      </w:pPr>
    </w:p>
    <w:p>
      <w:pPr>
        <w:spacing w:line="360" w:lineRule="auto"/>
        <w:ind w:firstLine="600"/>
        <w:rPr>
          <w:rFonts w:hint="default" w:ascii="Times New Roman" w:hAnsi="Times New Roman" w:eastAsia="黑体" w:cs="Times New Roman"/>
          <w:sz w:val="32"/>
          <w:szCs w:val="32"/>
        </w:rPr>
      </w:pPr>
    </w:p>
    <w:p>
      <w:pPr>
        <w:spacing w:line="360" w:lineRule="auto"/>
        <w:ind w:firstLine="600"/>
        <w:rPr>
          <w:rFonts w:hint="default" w:ascii="Times New Roman" w:hAnsi="Times New Roman" w:eastAsia="黑体" w:cs="Times New Roman"/>
          <w:sz w:val="32"/>
          <w:szCs w:val="32"/>
        </w:rPr>
      </w:pPr>
    </w:p>
    <w:p>
      <w:pPr>
        <w:spacing w:line="360" w:lineRule="auto"/>
        <w:ind w:firstLine="600"/>
        <w:rPr>
          <w:rFonts w:hint="default" w:ascii="Times New Roman" w:hAnsi="Times New Roman" w:eastAsia="黑体" w:cs="Times New Roman"/>
          <w:sz w:val="32"/>
          <w:szCs w:val="32"/>
        </w:rPr>
      </w:pPr>
    </w:p>
    <w:p>
      <w:pPr>
        <w:spacing w:line="360" w:lineRule="auto"/>
        <w:ind w:firstLine="600"/>
        <w:rPr>
          <w:rFonts w:hint="default" w:ascii="Times New Roman" w:hAnsi="Times New Roman" w:eastAsia="黑体" w:cs="Times New Roman"/>
          <w:sz w:val="32"/>
          <w:szCs w:val="32"/>
        </w:rPr>
      </w:pPr>
      <w:r>
        <w:rPr>
          <w:rFonts w:hint="eastAsia" w:eastAsia="黑体" w:cs="Times New Roman"/>
          <w:sz w:val="32"/>
          <w:szCs w:val="32"/>
          <w:lang w:val="en-US" w:eastAsia="zh-CN"/>
        </w:rPr>
        <w:t>4.</w:t>
      </w:r>
      <w:r>
        <w:rPr>
          <w:rFonts w:hint="default" w:ascii="Times New Roman" w:hAnsi="Times New Roman" w:eastAsia="黑体" w:cs="Times New Roman"/>
          <w:sz w:val="32"/>
          <w:szCs w:val="32"/>
        </w:rPr>
        <w:t>质量保障措施</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4.1 规范管理情况。</w:t>
      </w:r>
    </w:p>
    <w:p>
      <w:pPr>
        <w:spacing w:line="360" w:lineRule="auto"/>
        <w:ind w:firstLine="6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学校一直深入贯彻执行党和国家教育方针政策、模范遵守国家有关法律法规及有关文件，依法办学、依法治校。深入实施中等职业学校办学标准，开齐开足教育部专业教学标准规定的课程。进一步完善办学制度体系，为学校更高质量发展提供制度保障。落实立德树人根本任务，加大社会主义核心价值观、企业文化、产业文化进校园、进课堂、进头脑力度，全面提高学生社会责任感、创新精神和实践能力，着力培新时代的工匠精神。</w:t>
      </w:r>
    </w:p>
    <w:p>
      <w:pPr>
        <w:spacing w:line="360" w:lineRule="auto"/>
        <w:ind w:firstLine="600"/>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一、明确办学方向</w:t>
      </w:r>
      <w:r>
        <w:rPr>
          <w:rFonts w:hint="default" w:ascii="Times New Roman" w:hAnsi="Times New Roman" w:eastAsia="仿宋_GB2312" w:cs="Times New Roman"/>
          <w:sz w:val="32"/>
          <w:szCs w:val="32"/>
          <w:lang w:val="en-US" w:eastAsia="zh-CN"/>
        </w:rPr>
        <w:t>。</w:t>
      </w:r>
    </w:p>
    <w:p>
      <w:pPr>
        <w:spacing w:line="360" w:lineRule="auto"/>
        <w:ind w:firstLine="6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统一思想认识，每年组织干部职工学习各类法律法规，在学习中统一思想认识。强力推进《四川省商贸学校更高质量发展实施方案》，健全年度目标考核体系，在今年1月上旬对上一年度的目标考核材料规范整理、归档。</w:t>
      </w:r>
    </w:p>
    <w:p>
      <w:pPr>
        <w:spacing w:line="360" w:lineRule="auto"/>
        <w:ind w:firstLine="6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一）完善质量保证体系。一是核准、实施学校章程。二是健全完善各部门的管理制度，修订完善《学校管理制度汇编》；三是以教学诊改为契机，建立和完善学校内部质量保证体系，完善学校全要素、网络化的内部质量保证体系。</w:t>
      </w:r>
    </w:p>
    <w:p>
      <w:pPr>
        <w:spacing w:line="360" w:lineRule="auto"/>
        <w:ind w:firstLine="6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二）加强民主管理。一是修订完善《“三重一大”决策制度实施办法》，严格执行教代会制度，每学期召开1次教代会；二是对党委会重大决议、学校办公会重大决议、建设发展规划、年度工作要点等重大决策实行校务公开；内设机构调整、人事任免、职称评聘等信息及时通过办公平台公告、公示；单位及个人受表彰、教职工年度考核情况以及涉及教职工权益的其他事项及时向教职工公布。三是建立与社区、家长的联系制度，每学期听取社区、家长对学校建设的意见和建议。</w:t>
      </w:r>
    </w:p>
    <w:p>
      <w:pPr>
        <w:spacing w:line="360" w:lineRule="auto"/>
        <w:ind w:firstLine="600"/>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二、规范办学行为。</w:t>
      </w:r>
    </w:p>
    <w:p>
      <w:pPr>
        <w:spacing w:line="360" w:lineRule="auto"/>
        <w:ind w:firstLine="6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一）规范招生行为。今年3至6月，通过招生工作会议、校内宣传橱窗、学校官网、微信公众号开展了6次关于中职招生政策和工作纪律的宣传教育，在招生简章、学校形象宣传片、招生电视广告中面向社会公开承诺开展诚信招生、阳光招生；主动向地方教育主管部门报备招生宣传资料，主动接受招生学校资格审查。</w:t>
      </w:r>
    </w:p>
    <w:p>
      <w:pPr>
        <w:spacing w:line="360" w:lineRule="auto"/>
        <w:ind w:firstLine="6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二）规范收费管理。恪守学生及家长关于收费问题“零投诉”的底线，落实学生收费相关法律法规规定，通过校园网、公众号、学期通知书主动公开发改、物价等相关部门关于我校收费的批复。不以任何形式收取未注册学籍学生费用、跨学期预收学生费用；不违规扩大收费范围、提高收费标准；不使用非规范收费票据。</w:t>
      </w:r>
    </w:p>
    <w:p>
      <w:pPr>
        <w:spacing w:line="360" w:lineRule="auto"/>
        <w:ind w:firstLine="6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三）规范学籍管理。利用学籍管理系统和综合办公系统，进一步加强学籍电子注册、学籍异动、学生信息变更等环节的审核管理，做到制度透明、过程公开、审核留痕；及时做好对问题学籍、双重学籍、大龄人群、“在籍不在校”的学籍清理，杜绝虚假学籍、重复注册等现象；不将普通高中、普通高校、成人高校学生学籍注册中职学籍；不举办校外办学点，不以公办校外教学点的名义将民办中职学校新招的学生注册学籍。</w:t>
      </w:r>
    </w:p>
    <w:p>
      <w:pPr>
        <w:spacing w:line="360" w:lineRule="auto"/>
        <w:ind w:firstLine="6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四）规范教学管理。严格执行《四川省中等职业学校专业设置管理办法》规定的专业设置审批条件和程序，今年3月主动向教育行政主管部门报批备案本年度专业设置情况。全面落实教育部《中等职业学校专业教学标准》，所有专业均制定完善并严格执行学校专业人才培养方案、实施性教学计划、课程标准等，强化教学过程管理并按时归档工作记录，在今年春秋学期各组织开展2次教学计划执行情况检查，健全完善《四川省商贸学校听课评教制度》，各系部每学期在各班组织开展了1次教学效果的反馈与改进的教研会议，课程开设与教学实施密切同步，开齐课程、开足课时。</w:t>
      </w:r>
    </w:p>
    <w:p>
      <w:pPr>
        <w:spacing w:line="360" w:lineRule="auto"/>
        <w:ind w:firstLine="6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五）规范实习管理。严格执行教育部等五部委《职业学校学生实习管理规定》等相关文件规定，健全实习报备制度、实习管理制度、制定学生实习计划、签订学生实习协议、投保学生实习责任保险、完善学生实习考核评价等；实习前，通过召开实习学生家长会等形式，主动向家长和社会承诺“坚决杜绝借学生实习与实习企业、劳务中介机构之间进行利益输送，不收取劳务费、中介费以及克扣或拖欠学生报酬，不安排一年级学生顶岗实习，不安排相关规定禁止从事的岗位实习”等承诺，切实维护学生合法权益。</w:t>
      </w:r>
    </w:p>
    <w:p>
      <w:pPr>
        <w:spacing w:line="360" w:lineRule="auto"/>
        <w:ind w:firstLine="6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主动向教育行政主管部门报备或向社会公开办学信息：在校内醒目位置主动对社会做出规范办学公开承诺；在校园网设立公开监督举报电话，主动接受社会、家长和舆论的监督。在今年10月31日前向教育行政主管部门上报本学年“教育事业统计报表”；12月31日前社会公示本年度“质量年度报告”。</w:t>
      </w:r>
    </w:p>
    <w:p>
      <w:pPr>
        <w:spacing w:line="360" w:lineRule="auto"/>
        <w:ind w:firstLine="600"/>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 xml:space="preserve">三、建立规范化办学保障机制 </w:t>
      </w:r>
    </w:p>
    <w:p>
      <w:pPr>
        <w:spacing w:line="360" w:lineRule="auto"/>
        <w:ind w:firstLine="6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学校能全面贯彻国家教育方针政策、法律法规及有关文件，依法办学、依法治校，办学活动依法规范，社会各界满意度高。</w:t>
      </w:r>
    </w:p>
    <w:p>
      <w:pPr>
        <w:spacing w:line="360" w:lineRule="auto"/>
        <w:ind w:firstLine="6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一）组织保障。成立标准化办学领导小组，对标《四川省教育厅关于印发&lt;加强管理规范中等职业学校办学行为的意见&gt;的通知》(川教函〔2014〕64号)、《四川省教育厅关于进一步规范中等职业学校办学行为的通知》（川教函[2017]186号），对学校办学行为，自查整改，主动向教育部门报告。同时，充分发挥校务会、党委会、教代会的作用，定期召开会议，开展民主讨论。 </w:t>
      </w:r>
    </w:p>
    <w:p>
      <w:pPr>
        <w:spacing w:line="360" w:lineRule="auto"/>
        <w:ind w:firstLine="6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二）人事档案材料收集数字化。落实选人用人专项检查的反馈意见，根据2009年7月中组部下发的《关于印发&lt;干部人事档案材料收集归档规定&gt;的通知》（中组发[2009]12号）和2017年5月中组部下发《关于完善干部人事档案材料的通知》（组通字[2017]25号），对教职工档案进行进行分类归档、整理并数字化加工，实现人事档案内容详实、项目完整、归档规范、便于查询。</w:t>
      </w:r>
    </w:p>
    <w:p>
      <w:pPr>
        <w:spacing w:line="360" w:lineRule="auto"/>
        <w:ind w:firstLine="6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（三）第三方参与评价。邀请省、市教育主管部门对学校办学行为进行督导；邀请行业专家、第三方教育评估机构对学校办学水平进行评估。</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4.2 德育工作情况。包括德育课实施情况，校园文化建设、文明风采活动开展情况、社团活动、团组织学生会建设及活动等方面。</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4.2.1</w:t>
      </w:r>
      <w:r>
        <w:rPr>
          <w:rFonts w:hint="default" w:ascii="Times New Roman" w:hAnsi="Times New Roman" w:eastAsia="仿宋_GB2312" w:cs="Times New Roman"/>
          <w:sz w:val="32"/>
          <w:szCs w:val="32"/>
        </w:rPr>
        <w:t>中国梦、我的梦，家国情怀铸心中</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学校充分利用各种载体，开展“爱国从我做起、唱响时代主旋律”爱国主义主题班会；开展“我与祖国共奋进”、“不忘初心跟党走、牢记使命谱新篇”等爱国主义主题教育活动，爱国主义教育成为学校德育教育新常态。先后有百余名学生在国旗下发表了《爱国 爱校 爱家》、《爱国从我做起、唱响时代主旋律》等主题演讲，让学生懂得爱国从我做起、从今天做起、从小事做起的理念蔚然成风，全面培育了学生家国情怀。</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4.2.3</w:t>
      </w:r>
      <w:r>
        <w:rPr>
          <w:rFonts w:hint="default" w:ascii="Times New Roman" w:hAnsi="Times New Roman" w:eastAsia="仿宋_GB2312" w:cs="Times New Roman"/>
          <w:sz w:val="32"/>
          <w:szCs w:val="32"/>
        </w:rPr>
        <w:t>抓创新、强引领，三全育人树品牌</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学校着力党建引领、构建红心向党和美校园。充分发挥学校教育主体作用，与家庭、社会密切配合，拓宽德育途径，实现“全员、全程、全方位”育人，党员结对帮扶，争创“三全育人”综合改革试点学校，抓实抓牢德育常规工作。深入阐释“立德求真 志达天下”的学校文化内涵，大力推进“三真”教育（做人真诚，做事认真，梦想成真），逐步实现“准军事化”管理，营造良好的育人氛围。创新具有学校品牌特色的“一二三四五”德育工作法，即一个中心任务：立德树人；二大风景线：校园干净整洁，学生彬彬有礼；“三化”“三看”“三法”培育品牌：三化：规范化、特色化、品牌化；三看：看准政策向上看、看清发展思路向前看、看淡短期得失向下看；三法：有想法、有做法、有说法；“四色”出彩德育：传统文化做底色、行为习惯显本色、专业技能出亮色、文明风彩展特色；“五自”塑身铸魂：心理自信、生活自理、行为自立、学习自觉、荣誉自荐。</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4.2.3</w:t>
      </w:r>
      <w:r>
        <w:rPr>
          <w:rFonts w:hint="default" w:ascii="Times New Roman" w:hAnsi="Times New Roman" w:eastAsia="仿宋_GB2312" w:cs="Times New Roman"/>
          <w:sz w:val="32"/>
          <w:szCs w:val="32"/>
        </w:rPr>
        <w:t>塑体系、重评价，成长规划导航向</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学校从学生特点和教育规律出发，把德育过程写实化，把德育内容具体化，把考核环节数据化，固化德育成果，构建了“德育评价+成长规划+职业素养”的综合素质评价体系。德育考核评价以社会主义核心价值观、“三真教育”、思政课程为基本内容，以政治学习、主题班会、德育实践为基本形式，从能背诵、能释义、能做到三个层次对学生德育进行量化考评。通过成长规划记录册，全校师生共同参与，学生写成长记录，定期反思评价；导师定期谈心，批改成长记录。在职业规划中全面渗透德育内容，提升学生职业道德和职业素养。引导学生树立正确的择业观，养成良好的职业道德行为，提高就业创业能力。综合素质评价体系有效地提高了学生自我教育、自我管理、自我服务的自觉性和实效性，缩小了“学校人”与“职业人”之间的差距。</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4.2.4</w:t>
      </w:r>
      <w:r>
        <w:rPr>
          <w:rFonts w:hint="default" w:ascii="Times New Roman" w:hAnsi="Times New Roman" w:eastAsia="仿宋_GB2312" w:cs="Times New Roman"/>
          <w:sz w:val="32"/>
          <w:szCs w:val="32"/>
        </w:rPr>
        <w:t>一平台、四队伍，自治管理育英才</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学校为了传承红色基因，推行“准军事化”管理，构建了“一平台（准军事化自治平台）、四队伍（校卫队预备队、校卫队、国旗护卫队、学生教官）”和四进阶考核评价模式，掀起了争创优秀、学习榜样的热潮，充分彰显了我校学子红心向党、爱国爱校、团结进取的精神风貌。准军事化自治平台为学生提供自我管理的舞台，学生参与校园巡逻执勤，纠正不文明行为，维护重、大型活动秩序，参与班级量化考核，承担新生军训、升降旗仪式、学生自治管理等工作。学生日常训练、执勤、守卫学校的身影，已然成为校园中最亮丽的一道红色风景线。</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4.3党建情况。</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4.3.1</w:t>
      </w:r>
      <w:r>
        <w:rPr>
          <w:rFonts w:hint="default" w:ascii="Times New Roman" w:hAnsi="Times New Roman" w:eastAsia="仿宋_GB2312" w:cs="Times New Roman"/>
          <w:sz w:val="32"/>
          <w:szCs w:val="32"/>
        </w:rPr>
        <w:t>进一步加强思想政治教育。</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本年度，学校继续</w:t>
      </w:r>
      <w:r>
        <w:rPr>
          <w:rFonts w:hint="default" w:ascii="Times New Roman" w:hAnsi="Times New Roman" w:eastAsia="仿宋_GB2312" w:cs="Times New Roman"/>
          <w:sz w:val="32"/>
          <w:szCs w:val="32"/>
        </w:rPr>
        <w:t>深入学习贯彻习近平同志系列重要讲话精神，把社会主义核心价值观教育与师生思想教育有机融合，厚植师生家国情怀，充分利用各种载体，唱响培育和践行社会主义核心价值观的主旋律，绘好爱国主义同心圆，构建“红心向党”的和美校园。通过开展“道德模范”、“德阳好人”、“三讲三热爱”、“三真教育”（做人真诚，做事认真，梦想成真）、“我和我的祖国”、“传承红色基因、弘扬爱国精神”、“最美商贸人”、“新时代好青年”、“一诺三亮”（听党话跟党走，亮身份、亮目标、亮职责）等活动，让文明新风吹遍校园。“红色风景线，党团做示范”，构建“立德求真，志达天下”的学校文化，将社会主义核心价值观教育融入学校文化建设之中，充分发挥学校文化的感召力，引领师生自觉践行社会主义核心价值观，与党同心，与时代同行成为商贸校人内在要求。</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4.3.2</w:t>
      </w:r>
      <w:r>
        <w:rPr>
          <w:rFonts w:hint="default" w:ascii="Times New Roman" w:hAnsi="Times New Roman" w:eastAsia="仿宋_GB2312" w:cs="Times New Roman"/>
          <w:sz w:val="32"/>
          <w:szCs w:val="32"/>
        </w:rPr>
        <w:t>进一步加强党建工作。</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扎实地开展好</w:t>
      </w:r>
      <w:r>
        <w:rPr>
          <w:rFonts w:hint="default" w:ascii="Times New Roman" w:hAnsi="Times New Roman" w:eastAsia="仿宋_GB2312" w:cs="Times New Roman"/>
          <w:sz w:val="32"/>
          <w:szCs w:val="32"/>
          <w:lang w:val="en-US" w:eastAsia="zh-CN"/>
        </w:rPr>
        <w:t>党史学习教育</w:t>
      </w:r>
      <w:r>
        <w:rPr>
          <w:rFonts w:hint="default" w:ascii="Times New Roman" w:hAnsi="Times New Roman" w:eastAsia="仿宋_GB2312" w:cs="Times New Roman"/>
          <w:sz w:val="32"/>
          <w:szCs w:val="32"/>
        </w:rPr>
        <w:t>，建立长效机制，把“不忘初心、牢记使命”作为学校党的建设的永恒课题和全体党员干部的终身课题，推动主题教育从集中性向经常性转变。强化管党治党责任，坚定“四个意识”，强化“四个自信”，做到“两个维护”，“四抓”党建（真抓，敢抓，善抓，常抓）层层落实党建工作责任制，推动学校高质量发展。充分发挥党组织在学校管理中的政治核心、思想保证、政治监督和思想引领作用，发挥好“共产党员示范岗”的引领和辐射作用，打造“党员示范班”、“团员引领班”，持续办好学生业余团校、党校</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认真落实“三会一课”，组织生活会，民主评议党员等制度，着力抓好支部建设、党员学习和党风廉政建设活动的落实；有计划地组织开展一系列主题突出、针对性强的教育活动，通过开展系列活动，增强党员、教职工的凝聚力、向心力</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学校成功创建四川省第二批文明校园，进一步提升学校美誉度。</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4.3.3</w:t>
      </w:r>
      <w:r>
        <w:rPr>
          <w:rFonts w:hint="default" w:ascii="Times New Roman" w:hAnsi="Times New Roman" w:eastAsia="仿宋_GB2312" w:cs="Times New Roman"/>
          <w:sz w:val="32"/>
          <w:szCs w:val="32"/>
        </w:rPr>
        <w:t>进一步加强党风廉政建设。</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持续开展“以案促改”工作，积极开展肃风正纪，严格整治微腐败行为。多种形式开展“廉洁从教、德高为范”的主题活动，把廉洁教育和师风师德教育活动结合起来，和党风廉政建设结合起来，营造风清气正的和美校园。</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4.3.4</w:t>
      </w:r>
      <w:r>
        <w:rPr>
          <w:rFonts w:hint="default" w:ascii="Times New Roman" w:hAnsi="Times New Roman" w:eastAsia="仿宋_GB2312" w:cs="Times New Roman"/>
          <w:sz w:val="32"/>
          <w:szCs w:val="32"/>
        </w:rPr>
        <w:t>加强群团工作。</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重视教代会组织建设，坚持和完善以“教代会”为基本形式的民主管理制度，强化党务，校务监督工作，加强对学校“三重一大”、职称评聘、评优评先、经费使用等校务公开（特别是省级示范学校建设和四川农村电商“产学研”园区建设），对师生关注度较高的重点与热点事项进行全程监督，推动各项决策公开透明、阳光规范。在202</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年里，组织教职工代表全程参与学校“三重一大”决策监督工作，民主决策票决70次，教职工代表全程参与学校农村电商产学研基地建设、省级示范中职学校建设、招标、验收、大宗物资采购、选人用人等监督工作132次，确保各个项目依法依规、公开透明。</w:t>
      </w:r>
    </w:p>
    <w:p>
      <w:pPr>
        <w:spacing w:line="360" w:lineRule="auto"/>
        <w:ind w:firstLine="6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5.校企合作</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5.1校企合作开展情况和效果。</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学校自2014年开始，陆续从众多省内外合作企业中甄选出学生满意度较高的企业作为校企合作洽谈企业。目前，全校重点建设专业及其它7个专业与省内外相关企业签定校企合作协议企业数达38家。其中稳定长期合作的企业维持在20家左右，如重庆海尔电子维修公司、德阳市德商汽车服务有限公司、华禧文化有限公司、四川风度创意文化传媒有限公司、四川艺娱文化传媒有限公司、四川巨强食品有限公司等企业。今年新增四川宏发电声有限公司、德阳三环科技有限公司、德阳馨童文化艺术培训学校、德阳欢童艺术培训学校等实训基地，共建实训基地，共定人才培养方案，动建课程体系，在学生实习实训，设备投入及师资培训等方面与企业开展合作并取得了较好的成效。</w:t>
      </w:r>
    </w:p>
    <w:p>
      <w:pPr>
        <w:spacing w:line="360" w:lineRule="auto"/>
        <w:ind w:firstLine="6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5.2 学生实习情况。</w:t>
      </w:r>
    </w:p>
    <w:p>
      <w:pPr>
        <w:pStyle w:val="5"/>
        <w:shd w:val="clear" w:color="auto" w:fill="FFFFFF"/>
        <w:spacing w:line="240" w:lineRule="atLeast"/>
        <w:jc w:val="center"/>
        <w:rPr>
          <w:rFonts w:hint="default" w:ascii="Times New Roman" w:hAnsi="Times New Roman" w:cs="Times New Roman"/>
        </w:rPr>
      </w:pPr>
      <w:r>
        <w:rPr>
          <w:rFonts w:hint="default" w:ascii="Times New Roman" w:hAnsi="Times New Roman" w:eastAsia="黑体" w:cs="Times New Roman"/>
          <w:b/>
          <w:bCs/>
        </w:rPr>
        <w:t>表</w:t>
      </w:r>
      <w:r>
        <w:rPr>
          <w:rFonts w:hint="default" w:ascii="Times New Roman" w:hAnsi="Times New Roman" w:eastAsia="黑体" w:cs="Times New Roman"/>
          <w:b/>
          <w:bCs/>
          <w:lang w:val="en-US" w:eastAsia="zh-CN"/>
        </w:rPr>
        <w:t>5-1</w:t>
      </w:r>
      <w:r>
        <w:rPr>
          <w:rFonts w:hint="default" w:ascii="Times New Roman" w:hAnsi="Times New Roman" w:eastAsia="黑体" w:cs="Times New Roman"/>
          <w:b/>
          <w:bCs/>
        </w:rPr>
        <w:t xml:space="preserve">   </w:t>
      </w:r>
      <w:r>
        <w:rPr>
          <w:rFonts w:hint="default" w:ascii="Times New Roman" w:hAnsi="Times New Roman" w:eastAsia="黑体" w:cs="Times New Roman"/>
          <w:b/>
          <w:bCs/>
        </w:rPr>
        <w:t>20</w:t>
      </w:r>
      <w:r>
        <w:rPr>
          <w:rFonts w:hint="default" w:ascii="Times New Roman" w:hAnsi="Times New Roman" w:eastAsia="黑体" w:cs="Times New Roman"/>
          <w:b/>
          <w:bCs/>
        </w:rPr>
        <w:t>20</w:t>
      </w:r>
      <w:r>
        <w:rPr>
          <w:rFonts w:hint="default" w:ascii="Times New Roman" w:hAnsi="Times New Roman" w:eastAsia="黑体" w:cs="Times New Roman"/>
          <w:b/>
          <w:bCs/>
        </w:rPr>
        <w:t>-202</w:t>
      </w:r>
      <w:r>
        <w:rPr>
          <w:rFonts w:hint="default" w:ascii="Times New Roman" w:hAnsi="Times New Roman" w:eastAsia="黑体" w:cs="Times New Roman"/>
          <w:b/>
          <w:bCs/>
        </w:rPr>
        <w:t>1</w:t>
      </w:r>
      <w:r>
        <w:rPr>
          <w:rFonts w:hint="default" w:ascii="Times New Roman" w:hAnsi="Times New Roman" w:eastAsia="黑体" w:cs="Times New Roman"/>
          <w:b/>
          <w:bCs/>
        </w:rPr>
        <w:t>学年</w:t>
      </w:r>
      <w:r>
        <w:rPr>
          <w:rFonts w:hint="default" w:ascii="Times New Roman" w:hAnsi="Times New Roman" w:eastAsia="黑体" w:cs="Times New Roman"/>
          <w:b/>
          <w:bCs/>
          <w:lang w:val="en-US" w:eastAsia="zh-CN"/>
        </w:rPr>
        <w:t>学生实习就业情况统计表</w:t>
      </w:r>
    </w:p>
    <w:tbl>
      <w:tblPr>
        <w:tblStyle w:val="6"/>
        <w:tblpPr w:leftFromText="180" w:rightFromText="180" w:vertAnchor="text" w:horzAnchor="page" w:tblpX="2411" w:tblpY="136"/>
        <w:tblOverlap w:val="never"/>
        <w:tblW w:w="76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9"/>
        <w:gridCol w:w="3372"/>
        <w:gridCol w:w="1079"/>
        <w:gridCol w:w="108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3372" w:type="dxa"/>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指标</w:t>
            </w:r>
          </w:p>
        </w:tc>
        <w:tc>
          <w:tcPr>
            <w:tcW w:w="1079" w:type="dxa"/>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2020</w:t>
            </w:r>
            <w:r>
              <w:rPr>
                <w:rFonts w:hint="default" w:ascii="Times New Roman" w:hAnsi="Times New Roman" w:eastAsia="宋体" w:cs="Times New Roman"/>
                <w:b/>
                <w:bCs/>
                <w:i w:val="0"/>
                <w:iCs w:val="0"/>
                <w:color w:val="000000"/>
                <w:kern w:val="0"/>
                <w:sz w:val="21"/>
                <w:szCs w:val="21"/>
                <w:u w:val="none"/>
                <w:lang w:val="en-US" w:eastAsia="zh-CN" w:bidi="ar"/>
              </w:rPr>
              <w:t>年</w:t>
            </w:r>
          </w:p>
        </w:tc>
        <w:tc>
          <w:tcPr>
            <w:tcW w:w="1080" w:type="dxa"/>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2021</w:t>
            </w:r>
            <w:r>
              <w:rPr>
                <w:rFonts w:hint="default" w:ascii="Times New Roman" w:hAnsi="Times New Roman" w:eastAsia="宋体" w:cs="Times New Roman"/>
                <w:b/>
                <w:bCs/>
                <w:i w:val="0"/>
                <w:iCs w:val="0"/>
                <w:color w:val="000000"/>
                <w:kern w:val="0"/>
                <w:sz w:val="21"/>
                <w:szCs w:val="21"/>
                <w:u w:val="none"/>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1</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*就业（含升学）人数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581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774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2</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*在规模以上企业就业人数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3</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*在中小微企业就业人数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45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4</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*毕业生专业对口就业率</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92.26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91.86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5</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毕业生创业人数</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6</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*就业单位对毕业生职业素养的满意度</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96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7</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*就业单位对毕业生职业技能的满意度</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94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等线" w:cs="Times New Roman"/>
                <w:i w:val="0"/>
                <w:iCs w:val="0"/>
                <w:color w:val="000000"/>
                <w:sz w:val="24"/>
                <w:szCs w:val="24"/>
                <w:u w:val="none"/>
              </w:rPr>
            </w:pPr>
            <w:r>
              <w:rPr>
                <w:rFonts w:hint="default" w:ascii="Times New Roman" w:hAnsi="Times New Roman" w:eastAsia="等线" w:cs="Times New Roman"/>
                <w:i w:val="0"/>
                <w:iCs w:val="0"/>
                <w:color w:val="000000"/>
                <w:kern w:val="0"/>
                <w:sz w:val="24"/>
                <w:szCs w:val="24"/>
                <w:u w:val="none"/>
                <w:lang w:val="en-US" w:eastAsia="zh-CN" w:bidi="ar"/>
              </w:rPr>
              <w:t>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b/>
                <w:bCs/>
                <w:i w:val="0"/>
                <w:iCs w:val="0"/>
                <w:color w:val="000000"/>
                <w:sz w:val="21"/>
                <w:szCs w:val="21"/>
                <w:u w:val="none"/>
              </w:rPr>
            </w:pPr>
            <w:r>
              <w:rPr>
                <w:rFonts w:hint="default" w:ascii="Times New Roman" w:hAnsi="Times New Roman" w:eastAsia="等线" w:cs="Times New Roman"/>
                <w:b/>
                <w:bCs/>
                <w:i w:val="0"/>
                <w:iCs w:val="0"/>
                <w:color w:val="000000"/>
                <w:kern w:val="0"/>
                <w:sz w:val="21"/>
                <w:szCs w:val="21"/>
                <w:u w:val="none"/>
                <w:lang w:val="en-US" w:eastAsia="zh-CN" w:bidi="ar"/>
              </w:rPr>
              <w:t>8</w:t>
            </w:r>
          </w:p>
        </w:tc>
        <w:tc>
          <w:tcPr>
            <w:tcW w:w="33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初次就业起薪</w:t>
            </w:r>
          </w:p>
        </w:tc>
        <w:tc>
          <w:tcPr>
            <w:tcW w:w="10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3000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000000"/>
                <w:sz w:val="21"/>
                <w:szCs w:val="21"/>
                <w:u w:val="none"/>
              </w:rPr>
            </w:pPr>
            <w:r>
              <w:rPr>
                <w:rFonts w:hint="default" w:ascii="Times New Roman" w:hAnsi="Times New Roman" w:eastAsia="等线" w:cs="Times New Roman"/>
                <w:i w:val="0"/>
                <w:iCs w:val="0"/>
                <w:color w:val="000000"/>
                <w:kern w:val="0"/>
                <w:sz w:val="21"/>
                <w:szCs w:val="21"/>
                <w:u w:val="none"/>
                <w:lang w:val="en-US" w:eastAsia="zh-CN" w:bidi="ar"/>
              </w:rPr>
              <w:t>3000</w:t>
            </w:r>
          </w:p>
        </w:tc>
      </w:tr>
    </w:tbl>
    <w:p>
      <w:pPr>
        <w:spacing w:line="360" w:lineRule="auto"/>
        <w:ind w:firstLine="600"/>
        <w:rPr>
          <w:rFonts w:hint="default" w:ascii="Times New Roman" w:hAnsi="Times New Roman" w:eastAsia="黑体" w:cs="Times New Roman"/>
          <w:sz w:val="32"/>
          <w:szCs w:val="32"/>
          <w:lang w:val="en-US" w:eastAsia="zh-CN"/>
        </w:rPr>
      </w:pPr>
    </w:p>
    <w:p>
      <w:pPr>
        <w:spacing w:line="360" w:lineRule="auto"/>
        <w:ind w:firstLine="60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6</w:t>
      </w:r>
      <w:r>
        <w:rPr>
          <w:rFonts w:hint="default" w:ascii="Times New Roman" w:hAnsi="Times New Roman" w:eastAsia="黑体" w:cs="Times New Roman"/>
          <w:sz w:val="32"/>
          <w:szCs w:val="32"/>
        </w:rPr>
        <w:t>.社会贡献</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社会服务。</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我校作为全国供销电子商务人才培训基地、德阳市人力资源和社会保障局定点培训机构，德阳市高技能人才、农业教育培训基地，积极服务地方经济，做好社会培训工作。大力开展学生专业技能提升培训，致力农产品职业经理人、乡村振兴带头人、新型职业农民、电商直播、社工服务等专项培训。</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主动作为拓业务，新增工种补空白。德阳市人力资源和社会保障局推出提升劳动者职业技能，促进就业的“项目制培训”，其中涉农项目的培训工种，国家和行业没有统一的考核标准。我校率先制定了猕猴桃、鸡、兔等5个涉农工种的考核标准，经德阳市人力资源和社会保障局及德阳市农业农村局审核并发文，在全市范围内推广执行，作为德阳市猕猴桃、鸡、兔等5个涉农工种培训的考核依据。</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电商直播进乡间，培训教学在田间。学校立足专业特色构建办学在乡间、讲学在民间、教学在田间、研学在车间的乡村振兴职教理念，把电商直播课堂开设到乡镇，下移到田间，为中江空心挂面、中江永安柚、罗江贵妃枣、罗江柚、绵竹猕猴桃、绵竹生猪养殖等种养殖户和专合社举办培训班，</w:t>
      </w:r>
      <w:r>
        <w:rPr>
          <w:rFonts w:hint="default" w:ascii="Times New Roman" w:hAnsi="Times New Roman" w:eastAsia="仿宋_GB2312" w:cs="Times New Roman"/>
          <w:sz w:val="32"/>
          <w:szCs w:val="32"/>
          <w:lang w:val="en-US" w:eastAsia="zh-CN"/>
        </w:rPr>
        <w:t>2021年8月与罗江贵妃枣开展的农村电商班培训更是受到四川电视台乡村频道专题播放，</w:t>
      </w:r>
      <w:r>
        <w:rPr>
          <w:rFonts w:hint="default" w:ascii="Times New Roman" w:hAnsi="Times New Roman" w:eastAsia="仿宋_GB2312" w:cs="Times New Roman"/>
          <w:sz w:val="32"/>
          <w:szCs w:val="32"/>
        </w:rPr>
        <w:t>为乡村振兴贡献商贸校人的智慧和力量。</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对口支援。包括东西部对口帮扶、校际帮扶、对口扶贫等。</w:t>
      </w:r>
    </w:p>
    <w:p>
      <w:pPr>
        <w:pStyle w:val="2"/>
        <w:keepNext w:val="0"/>
        <w:keepLines w:val="0"/>
        <w:pageBreakBefore w:val="0"/>
        <w:kinsoku/>
        <w:wordWrap/>
        <w:overflowPunct/>
        <w:topLinePunct w:val="0"/>
        <w:bidi w:val="0"/>
        <w:spacing w:before="0" w:beforeAutospacing="0" w:after="0" w:afterAutospacing="0" w:line="600" w:lineRule="exact"/>
        <w:ind w:left="0" w:firstLine="640" w:firstLineChars="200"/>
        <w:textAlignment w:val="auto"/>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 w:cs="Times New Roman"/>
          <w:color w:val="000000" w:themeColor="text1"/>
          <w:sz w:val="32"/>
          <w:szCs w:val="32"/>
          <w14:textFill>
            <w14:solidFill>
              <w14:schemeClr w14:val="tx1"/>
            </w14:solidFill>
          </w14:textFill>
        </w:rPr>
        <w:t>学校现有彝区9+3学生</w:t>
      </w:r>
      <w:r>
        <w:rPr>
          <w:rFonts w:hint="default" w:ascii="Times New Roman" w:hAnsi="Times New Roman" w:eastAsia="仿宋" w:cs="Times New Roman"/>
          <w:color w:val="000000" w:themeColor="text1"/>
          <w:sz w:val="32"/>
          <w:szCs w:val="32"/>
          <w:lang w:val="en-US" w:eastAsia="zh-CN"/>
          <w14:textFill>
            <w14:solidFill>
              <w14:schemeClr w14:val="tx1"/>
            </w14:solidFill>
          </w14:textFill>
        </w:rPr>
        <w:t>1026</w:t>
      </w:r>
      <w:r>
        <w:rPr>
          <w:rFonts w:hint="default" w:ascii="Times New Roman" w:hAnsi="Times New Roman" w:eastAsia="仿宋" w:cs="Times New Roman"/>
          <w:color w:val="000000" w:themeColor="text1"/>
          <w:sz w:val="32"/>
          <w:szCs w:val="32"/>
          <w14:textFill>
            <w14:solidFill>
              <w14:schemeClr w14:val="tx1"/>
            </w14:solidFill>
          </w14:textFill>
        </w:rPr>
        <w:t>名，学生数位列全省中职学校前列。为了做好9+3工作，学校始终将落实立德树人根本任务放在首位，以“立德求真、志达天下”的学校文化为引领，深入贯彻省委、省政府关于“进一步重视大小凉山扶贫工作，打一场彝区扶贫攻坚战”的决策部署，开创“一主线三层次”的民族教育新机制，构建“手拉手、心连心、师生结对”的导师育人新模式，打造“友好相助五融合”的民族团结一家亲局面。全校上下统一思想，分层（领导班子、中层干部和全校教职工）构建民族教育管理机制，定期召开“9+3”工作会，一对一、点对点全面指导 “9+3”学生的生活和学习。以学校社团为载体促“9+3”学生和内地学生的文化融合，以共度端午节、彝族年等传统节日为契机，促进对民族风俗的理解和认同，以学校电商服务平台为载体，为雷波县提供技术服务，助力凉山州地区的脱贫攻坚工作。</w:t>
      </w:r>
    </w:p>
    <w:p>
      <w:pPr>
        <w:spacing w:line="360" w:lineRule="auto"/>
        <w:ind w:firstLine="600"/>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 w:cs="Times New Roman"/>
          <w:color w:val="000000" w:themeColor="text1"/>
          <w:sz w:val="32"/>
          <w:szCs w:val="32"/>
          <w14:textFill>
            <w14:solidFill>
              <w14:schemeClr w14:val="tx1"/>
            </w14:solidFill>
          </w14:textFill>
        </w:rPr>
        <w:t>汽修专业学生吉更打布毕业后自主创业，成立了雷波县瑾豪物业管理有限公司，为当地经济发展作出了贡献。来自大凉山的学生南征尔者身残志坚，经过学校学习后，在家拥有了自己的小型音乐工作室《彝悦音乐工作室》，其代表作品《外星人》《借口》《妈妈》向世界展示了极具民族地域色彩的音视频，提升了家乡的影响力，带领乡亲们利用电子商务脱贫致富。来自大凉山的电子商务专业学生姜来，从二年级开始与同年级平面专业两名同学一起创办电子商务销售公司，主营盐源苹果，日销苹果近千单，带动当地就业，为乡村振兴奉献了自己的力量。</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服务抗疫。</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学校</w:t>
      </w:r>
      <w:r>
        <w:rPr>
          <w:rFonts w:hint="default" w:ascii="Times New Roman" w:hAnsi="Times New Roman" w:eastAsia="仿宋_GB2312" w:cs="Times New Roman"/>
          <w:sz w:val="32"/>
          <w:szCs w:val="32"/>
        </w:rPr>
        <w:t>按照“横到边，纵到底，无遗漏”要求切实做好情况排查，全面开展情况排查，摸清底数，建好台账，严格执行“日报告、零报告”制度， 切实落实校园管控。学校要严格落实值班带班制度，坚持在岗带班和 24 小时值班。 落实“内防扩散、外防输出”的要求，对校园实行全封闭管理，严格控制外人员随意进入校园，不组织开展聚集性群体活动。切实抓好宣传教育。开学后第一月为学校“健康教育月”，开学后第一周为学校“食品安全周”，办公室、学生处、各系要通过教育（校园）网、微博、微信、抖音、QQ 群等平台，及时推送权威机构发布的疫情防控知识、食品卫生知识，标语，加强有关防疫政策措施宣传解读，引导、督促正确佩戴口罩，统一执行定时开窗通风要求掌握疫情动态：实行师生每日一报告制度，有事报事、无事报平安。准确了解和动态统计师生动向，流动轨迹，是否有病例发生，是否有发热情况等，据实填写并及时上报，做到师生全覆盖。在疫情中，我校师生展现出了勇于担当的责任感，担任疫情志愿者共计139人次，其中19级民航运输班学生郑乐辰 被陇南市评为“优秀志愿者”；2018级金融事务班学生曲比约格 在北京担任抗疫志愿者，被《人民日报》专题报道。全校师生齐心协力，共克时艰，疫情防控工作扎实有序开展，得到德阳相关部门的肯定和表扬。</w:t>
      </w:r>
    </w:p>
    <w:p>
      <w:pPr>
        <w:spacing w:line="360" w:lineRule="auto"/>
        <w:ind w:firstLine="60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7</w:t>
      </w:r>
      <w:r>
        <w:rPr>
          <w:rFonts w:hint="default" w:ascii="Times New Roman" w:hAnsi="Times New Roman" w:eastAsia="黑体" w:cs="Times New Roman"/>
          <w:sz w:val="32"/>
          <w:szCs w:val="32"/>
        </w:rPr>
        <w:t>.举办者履责</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.1经费。</w:t>
      </w:r>
    </w:p>
    <w:p>
      <w:pPr>
        <w:pStyle w:val="5"/>
        <w:shd w:val="clear" w:color="auto" w:fill="FFFFFF"/>
        <w:spacing w:before="0" w:beforeAutospacing="0" w:after="0" w:afterAutospacing="0" w:line="240" w:lineRule="atLeast"/>
        <w:jc w:val="center"/>
        <w:rPr>
          <w:rFonts w:hint="default" w:ascii="Times New Roman" w:hAnsi="Times New Roman" w:eastAsia="黑体" w:cs="Times New Roman"/>
          <w:b/>
          <w:bCs/>
          <w:color w:val="000000"/>
        </w:rPr>
      </w:pPr>
      <w:r>
        <w:rPr>
          <w:rFonts w:hint="default" w:ascii="Times New Roman" w:hAnsi="Times New Roman" w:eastAsia="黑体" w:cs="Times New Roman"/>
          <w:b/>
          <w:bCs/>
          <w:color w:val="000000"/>
        </w:rPr>
        <w:t>表</w:t>
      </w:r>
      <w:r>
        <w:rPr>
          <w:rFonts w:hint="default" w:ascii="Times New Roman" w:hAnsi="Times New Roman" w:eastAsia="黑体" w:cs="Times New Roman"/>
          <w:b/>
          <w:bCs/>
          <w:color w:val="000000"/>
          <w:lang w:val="en-US" w:eastAsia="zh-CN"/>
        </w:rPr>
        <w:t>7</w:t>
      </w:r>
      <w:r>
        <w:rPr>
          <w:rFonts w:hint="default" w:ascii="Times New Roman" w:hAnsi="Times New Roman" w:eastAsia="黑体" w:cs="Times New Roman"/>
          <w:b/>
          <w:bCs/>
          <w:color w:val="000000"/>
        </w:rPr>
        <w:t>-1</w:t>
      </w:r>
      <w:r>
        <w:rPr>
          <w:rFonts w:hint="default" w:ascii="Times New Roman" w:hAnsi="Times New Roman" w:eastAsia="黑体" w:cs="Times New Roman"/>
          <w:b/>
          <w:bCs/>
          <w:color w:val="000000"/>
        </w:rPr>
        <w:t xml:space="preserve">  四川省商贸学校办学资源总量及生均值</w:t>
      </w:r>
    </w:p>
    <w:tbl>
      <w:tblPr>
        <w:tblStyle w:val="6"/>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604"/>
        <w:gridCol w:w="713"/>
        <w:gridCol w:w="1464"/>
        <w:gridCol w:w="1447"/>
        <w:gridCol w:w="1304"/>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vMerge w:val="restart"/>
            <w:shd w:val="clear" w:color="auto" w:fill="BDD6EE"/>
            <w:noWrap w:val="0"/>
            <w:vAlign w:val="center"/>
          </w:tcPr>
          <w:p>
            <w:pPr>
              <w:jc w:val="center"/>
              <w:rPr>
                <w:rFonts w:hint="default" w:ascii="Times New Roman" w:hAnsi="Times New Roman" w:eastAsia="新宋体" w:cs="Times New Roman"/>
                <w:color w:val="000000"/>
              </w:rPr>
            </w:pPr>
            <w:r>
              <w:rPr>
                <w:rFonts w:hint="default" w:ascii="Times New Roman" w:hAnsi="Times New Roman" w:eastAsia="新宋体" w:cs="Times New Roman"/>
                <w:color w:val="000000"/>
              </w:rPr>
              <w:t>序号</w:t>
            </w:r>
          </w:p>
        </w:tc>
        <w:tc>
          <w:tcPr>
            <w:tcW w:w="1604" w:type="dxa"/>
            <w:vMerge w:val="restart"/>
            <w:shd w:val="clear" w:color="auto" w:fill="BDD6EE"/>
            <w:noWrap w:val="0"/>
            <w:vAlign w:val="center"/>
          </w:tcPr>
          <w:p>
            <w:pPr>
              <w:jc w:val="center"/>
              <w:rPr>
                <w:rFonts w:hint="default" w:ascii="Times New Roman" w:hAnsi="Times New Roman" w:eastAsia="新宋体" w:cs="Times New Roman"/>
                <w:color w:val="000000"/>
              </w:rPr>
            </w:pPr>
            <w:r>
              <w:rPr>
                <w:rFonts w:hint="default" w:ascii="Times New Roman" w:hAnsi="Times New Roman" w:eastAsia="新宋体" w:cs="Times New Roman"/>
                <w:color w:val="000000"/>
              </w:rPr>
              <w:t>名称</w:t>
            </w:r>
          </w:p>
        </w:tc>
        <w:tc>
          <w:tcPr>
            <w:tcW w:w="713" w:type="dxa"/>
            <w:vMerge w:val="restart"/>
            <w:shd w:val="clear" w:color="auto" w:fill="BDD6EE"/>
            <w:noWrap w:val="0"/>
            <w:vAlign w:val="center"/>
          </w:tcPr>
          <w:p>
            <w:pPr>
              <w:jc w:val="center"/>
              <w:rPr>
                <w:rFonts w:hint="default" w:ascii="Times New Roman" w:hAnsi="Times New Roman" w:eastAsia="新宋体" w:cs="Times New Roman"/>
                <w:color w:val="000000"/>
              </w:rPr>
            </w:pPr>
            <w:r>
              <w:rPr>
                <w:rFonts w:hint="default" w:ascii="Times New Roman" w:hAnsi="Times New Roman" w:eastAsia="新宋体" w:cs="Times New Roman"/>
                <w:color w:val="000000"/>
              </w:rPr>
              <w:t>单位</w:t>
            </w:r>
          </w:p>
        </w:tc>
        <w:tc>
          <w:tcPr>
            <w:tcW w:w="2911" w:type="dxa"/>
            <w:gridSpan w:val="2"/>
            <w:shd w:val="clear" w:color="auto" w:fill="BDD6EE"/>
            <w:noWrap w:val="0"/>
            <w:vAlign w:val="center"/>
          </w:tcPr>
          <w:p>
            <w:pPr>
              <w:jc w:val="center"/>
              <w:rPr>
                <w:rFonts w:hint="default" w:ascii="Times New Roman" w:hAnsi="Times New Roman" w:eastAsia="新宋体" w:cs="Times New Roman"/>
                <w:color w:val="000000"/>
              </w:rPr>
            </w:pPr>
            <w:r>
              <w:rPr>
                <w:rFonts w:hint="default" w:ascii="Times New Roman" w:hAnsi="Times New Roman" w:eastAsia="新宋体" w:cs="Times New Roman"/>
                <w:color w:val="000000"/>
              </w:rPr>
              <w:t>数值</w:t>
            </w:r>
          </w:p>
        </w:tc>
        <w:tc>
          <w:tcPr>
            <w:tcW w:w="2610" w:type="dxa"/>
            <w:gridSpan w:val="2"/>
            <w:shd w:val="clear" w:color="auto" w:fill="BDD6EE"/>
            <w:noWrap w:val="0"/>
            <w:vAlign w:val="center"/>
          </w:tcPr>
          <w:p>
            <w:pPr>
              <w:jc w:val="center"/>
              <w:rPr>
                <w:rFonts w:hint="default" w:ascii="Times New Roman" w:hAnsi="Times New Roman" w:eastAsia="新宋体" w:cs="Times New Roman"/>
                <w:color w:val="000000"/>
              </w:rPr>
            </w:pPr>
            <w:r>
              <w:rPr>
                <w:rFonts w:hint="default" w:ascii="Times New Roman" w:hAnsi="Times New Roman" w:eastAsia="新宋体" w:cs="Times New Roman"/>
                <w:color w:val="000000"/>
              </w:rPr>
              <w:t>生均值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vMerge w:val="continue"/>
            <w:shd w:val="clear" w:color="auto" w:fill="BDD6EE"/>
            <w:noWrap w:val="0"/>
            <w:vAlign w:val="center"/>
          </w:tcPr>
          <w:p>
            <w:pPr>
              <w:jc w:val="center"/>
              <w:rPr>
                <w:rFonts w:hint="default" w:ascii="Times New Roman" w:hAnsi="Times New Roman" w:eastAsia="新宋体" w:cs="Times New Roman"/>
                <w:color w:val="000000"/>
              </w:rPr>
            </w:pPr>
          </w:p>
        </w:tc>
        <w:tc>
          <w:tcPr>
            <w:tcW w:w="1604" w:type="dxa"/>
            <w:vMerge w:val="continue"/>
            <w:shd w:val="clear" w:color="auto" w:fill="BDD6EE"/>
            <w:noWrap w:val="0"/>
            <w:vAlign w:val="center"/>
          </w:tcPr>
          <w:p>
            <w:pPr>
              <w:jc w:val="center"/>
              <w:rPr>
                <w:rFonts w:hint="default" w:ascii="Times New Roman" w:hAnsi="Times New Roman" w:eastAsia="新宋体" w:cs="Times New Roman"/>
                <w:color w:val="000000"/>
              </w:rPr>
            </w:pPr>
          </w:p>
        </w:tc>
        <w:tc>
          <w:tcPr>
            <w:tcW w:w="713" w:type="dxa"/>
            <w:vMerge w:val="continue"/>
            <w:shd w:val="clear" w:color="auto" w:fill="BDD6EE"/>
            <w:noWrap w:val="0"/>
            <w:vAlign w:val="center"/>
          </w:tcPr>
          <w:p>
            <w:pPr>
              <w:jc w:val="center"/>
              <w:rPr>
                <w:rFonts w:hint="default" w:ascii="Times New Roman" w:hAnsi="Times New Roman" w:eastAsia="新宋体" w:cs="Times New Roman"/>
                <w:color w:val="000000"/>
              </w:rPr>
            </w:pPr>
          </w:p>
        </w:tc>
        <w:tc>
          <w:tcPr>
            <w:tcW w:w="1464" w:type="dxa"/>
            <w:shd w:val="clear" w:color="auto" w:fill="BDD6EE"/>
            <w:noWrap w:val="0"/>
            <w:vAlign w:val="center"/>
          </w:tcPr>
          <w:p>
            <w:pPr>
              <w:jc w:val="center"/>
              <w:rPr>
                <w:rFonts w:hint="default" w:ascii="Times New Roman" w:hAnsi="Times New Roman" w:eastAsia="新宋体" w:cs="Times New Roman"/>
                <w:color w:val="000000"/>
                <w:kern w:val="0"/>
                <w:lang w:val="en-US" w:eastAsia="zh-CN"/>
              </w:rPr>
            </w:pPr>
            <w:r>
              <w:rPr>
                <w:rFonts w:hint="default" w:ascii="Times New Roman" w:hAnsi="Times New Roman" w:eastAsia="新宋体" w:cs="Times New Roman"/>
                <w:color w:val="000000"/>
                <w:kern w:val="0"/>
              </w:rPr>
              <w:t>20</w:t>
            </w:r>
            <w:r>
              <w:rPr>
                <w:rFonts w:hint="default" w:ascii="Times New Roman" w:hAnsi="Times New Roman" w:eastAsia="新宋体" w:cs="Times New Roman"/>
                <w:color w:val="000000"/>
                <w:kern w:val="0"/>
                <w:lang w:val="en-US" w:eastAsia="zh-CN"/>
              </w:rPr>
              <w:t>20</w:t>
            </w:r>
          </w:p>
        </w:tc>
        <w:tc>
          <w:tcPr>
            <w:tcW w:w="1447" w:type="dxa"/>
            <w:shd w:val="clear" w:color="auto" w:fill="BDD6EE"/>
            <w:noWrap w:val="0"/>
            <w:vAlign w:val="center"/>
          </w:tcPr>
          <w:p>
            <w:pPr>
              <w:jc w:val="center"/>
              <w:rPr>
                <w:rFonts w:hint="default" w:ascii="Times New Roman" w:hAnsi="Times New Roman" w:eastAsia="新宋体" w:cs="Times New Roman"/>
                <w:color w:val="000000"/>
                <w:kern w:val="0"/>
                <w:lang w:val="en-US" w:eastAsia="zh-CN"/>
              </w:rPr>
            </w:pPr>
            <w:r>
              <w:rPr>
                <w:rFonts w:hint="default" w:ascii="Times New Roman" w:hAnsi="Times New Roman" w:eastAsia="新宋体" w:cs="Times New Roman"/>
                <w:color w:val="000000"/>
                <w:kern w:val="0"/>
              </w:rPr>
              <w:t>20</w:t>
            </w:r>
            <w:r>
              <w:rPr>
                <w:rFonts w:hint="default" w:ascii="Times New Roman" w:hAnsi="Times New Roman" w:eastAsia="新宋体" w:cs="Times New Roman"/>
                <w:color w:val="000000"/>
                <w:kern w:val="0"/>
                <w:lang w:val="en-US" w:eastAsia="zh-CN"/>
              </w:rPr>
              <w:t>21</w:t>
            </w:r>
          </w:p>
        </w:tc>
        <w:tc>
          <w:tcPr>
            <w:tcW w:w="1304" w:type="dxa"/>
            <w:shd w:val="clear" w:color="auto" w:fill="BDD6EE"/>
            <w:noWrap w:val="0"/>
            <w:vAlign w:val="center"/>
          </w:tcPr>
          <w:p>
            <w:pPr>
              <w:jc w:val="center"/>
              <w:rPr>
                <w:rFonts w:hint="default" w:ascii="Times New Roman" w:hAnsi="Times New Roman" w:eastAsia="新宋体" w:cs="Times New Roman"/>
                <w:color w:val="000000"/>
                <w:kern w:val="0"/>
                <w:lang w:val="en-US" w:eastAsia="zh-CN"/>
              </w:rPr>
            </w:pPr>
            <w:r>
              <w:rPr>
                <w:rFonts w:hint="default" w:ascii="Times New Roman" w:hAnsi="Times New Roman" w:eastAsia="新宋体" w:cs="Times New Roman"/>
                <w:color w:val="000000"/>
                <w:kern w:val="0"/>
              </w:rPr>
              <w:t>20</w:t>
            </w:r>
            <w:r>
              <w:rPr>
                <w:rFonts w:hint="default" w:ascii="Times New Roman" w:hAnsi="Times New Roman" w:eastAsia="新宋体" w:cs="Times New Roman"/>
                <w:color w:val="000000"/>
                <w:kern w:val="0"/>
                <w:lang w:val="en-US" w:eastAsia="zh-CN"/>
              </w:rPr>
              <w:t>20</w:t>
            </w:r>
          </w:p>
        </w:tc>
        <w:tc>
          <w:tcPr>
            <w:tcW w:w="1306" w:type="dxa"/>
            <w:shd w:val="clear" w:color="auto" w:fill="BDD6EE"/>
            <w:noWrap w:val="0"/>
            <w:vAlign w:val="center"/>
          </w:tcPr>
          <w:p>
            <w:pPr>
              <w:jc w:val="center"/>
              <w:rPr>
                <w:rFonts w:hint="default" w:ascii="Times New Roman" w:hAnsi="Times New Roman" w:eastAsia="新宋体" w:cs="Times New Roman"/>
                <w:color w:val="000000"/>
                <w:kern w:val="0"/>
                <w:lang w:eastAsia="zh-CN"/>
              </w:rPr>
            </w:pPr>
            <w:r>
              <w:rPr>
                <w:rFonts w:hint="default" w:ascii="Times New Roman" w:hAnsi="Times New Roman" w:eastAsia="新宋体" w:cs="Times New Roman"/>
                <w:color w:val="000000"/>
                <w:kern w:val="0"/>
              </w:rPr>
              <w:t>202</w:t>
            </w:r>
            <w:r>
              <w:rPr>
                <w:rFonts w:hint="default" w:ascii="Times New Roman" w:hAnsi="Times New Roman" w:eastAsia="新宋体" w:cs="Times New Roman"/>
                <w:color w:val="000000"/>
                <w:kern w:val="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noWrap w:val="0"/>
            <w:vAlign w:val="center"/>
          </w:tcPr>
          <w:p>
            <w:pPr>
              <w:rPr>
                <w:rFonts w:hint="default" w:ascii="Times New Roman" w:hAnsi="Times New Roman" w:eastAsia="新宋体" w:cs="Times New Roman"/>
                <w:color w:val="000000"/>
              </w:rPr>
            </w:pPr>
            <w:r>
              <w:rPr>
                <w:rFonts w:hint="default" w:ascii="Times New Roman" w:hAnsi="Times New Roman" w:eastAsia="新宋体" w:cs="Times New Roman"/>
                <w:color w:val="000000"/>
              </w:rPr>
              <w:t>1</w:t>
            </w:r>
          </w:p>
        </w:tc>
        <w:tc>
          <w:tcPr>
            <w:tcW w:w="1604" w:type="dxa"/>
            <w:noWrap w:val="0"/>
            <w:vAlign w:val="center"/>
          </w:tcPr>
          <w:p>
            <w:pPr>
              <w:rPr>
                <w:rFonts w:hint="default" w:ascii="Times New Roman" w:hAnsi="Times New Roman" w:eastAsia="新宋体" w:cs="Times New Roman"/>
                <w:color w:val="000000"/>
              </w:rPr>
            </w:pPr>
            <w:r>
              <w:rPr>
                <w:rFonts w:hint="default" w:ascii="Times New Roman" w:hAnsi="Times New Roman" w:eastAsia="新宋体" w:cs="Times New Roman"/>
                <w:color w:val="000000"/>
              </w:rPr>
              <w:t>占地面积</w:t>
            </w:r>
          </w:p>
        </w:tc>
        <w:tc>
          <w:tcPr>
            <w:tcW w:w="713" w:type="dxa"/>
            <w:noWrap w:val="0"/>
            <w:vAlign w:val="center"/>
          </w:tcPr>
          <w:p>
            <w:pPr>
              <w:rPr>
                <w:rFonts w:hint="default" w:ascii="Times New Roman" w:hAnsi="Times New Roman" w:eastAsia="新宋体" w:cs="Times New Roman"/>
                <w:color w:val="000000"/>
              </w:rPr>
            </w:pPr>
            <w:r>
              <w:rPr>
                <w:rFonts w:hint="default" w:ascii="Times New Roman" w:hAnsi="Times New Roman" w:eastAsia="新宋体" w:cs="Times New Roman"/>
                <w:color w:val="000000"/>
              </w:rPr>
              <w:t>m</w:t>
            </w:r>
            <w:r>
              <w:rPr>
                <w:rFonts w:hint="default" w:ascii="Times New Roman" w:hAnsi="Times New Roman" w:eastAsia="新宋体" w:cs="Times New Roman"/>
                <w:color w:val="000000"/>
                <w:vertAlign w:val="superscript"/>
              </w:rPr>
              <w:t>2</w:t>
            </w:r>
          </w:p>
        </w:tc>
        <w:tc>
          <w:tcPr>
            <w:tcW w:w="1464" w:type="dxa"/>
            <w:noWrap w:val="0"/>
            <w:vAlign w:val="center"/>
          </w:tcPr>
          <w:p>
            <w:pPr>
              <w:jc w:val="center"/>
              <w:rPr>
                <w:rFonts w:hint="default" w:ascii="Times New Roman" w:hAnsi="Times New Roman" w:eastAsia="新宋体" w:cs="Times New Roman"/>
                <w:color w:val="000000"/>
              </w:rPr>
            </w:pPr>
            <w:r>
              <w:rPr>
                <w:rFonts w:hint="default" w:ascii="Times New Roman" w:hAnsi="Times New Roman" w:eastAsia="新宋体" w:cs="Times New Roman"/>
                <w:color w:val="000000"/>
              </w:rPr>
              <w:t>164666.5</w:t>
            </w:r>
          </w:p>
        </w:tc>
        <w:tc>
          <w:tcPr>
            <w:tcW w:w="1447" w:type="dxa"/>
            <w:noWrap w:val="0"/>
            <w:vAlign w:val="center"/>
          </w:tcPr>
          <w:p>
            <w:pPr>
              <w:jc w:val="center"/>
              <w:rPr>
                <w:rFonts w:hint="default" w:ascii="Times New Roman" w:hAnsi="Times New Roman" w:eastAsia="新宋体" w:cs="Times New Roman"/>
                <w:color w:val="000000"/>
              </w:rPr>
            </w:pPr>
            <w:r>
              <w:rPr>
                <w:rFonts w:hint="default" w:ascii="Times New Roman" w:hAnsi="Times New Roman" w:eastAsia="新宋体" w:cs="Times New Roman"/>
                <w:color w:val="000000"/>
              </w:rPr>
              <w:t>164666.5</w:t>
            </w:r>
          </w:p>
        </w:tc>
        <w:tc>
          <w:tcPr>
            <w:tcW w:w="1304" w:type="dxa"/>
            <w:noWrap w:val="0"/>
            <w:vAlign w:val="center"/>
          </w:tcPr>
          <w:p>
            <w:pPr>
              <w:jc w:val="center"/>
              <w:rPr>
                <w:rFonts w:hint="default" w:ascii="Times New Roman" w:hAnsi="Times New Roman" w:eastAsia="新宋体" w:cs="Times New Roman"/>
                <w:color w:val="000000"/>
                <w:lang w:val="en-US" w:eastAsia="zh-CN"/>
              </w:rPr>
            </w:pPr>
            <w:r>
              <w:rPr>
                <w:rFonts w:hint="default" w:ascii="Times New Roman" w:hAnsi="Times New Roman" w:eastAsia="新宋体" w:cs="Times New Roman"/>
                <w:color w:val="000000"/>
                <w:lang w:val="en-US" w:eastAsia="zh-CN"/>
              </w:rPr>
              <w:t>79.43</w:t>
            </w:r>
          </w:p>
        </w:tc>
        <w:tc>
          <w:tcPr>
            <w:tcW w:w="1306" w:type="dxa"/>
            <w:noWrap w:val="0"/>
            <w:vAlign w:val="center"/>
          </w:tcPr>
          <w:p>
            <w:pPr>
              <w:jc w:val="center"/>
              <w:rPr>
                <w:rFonts w:hint="default" w:ascii="Times New Roman" w:hAnsi="Times New Roman" w:eastAsia="新宋体" w:cs="Times New Roman"/>
                <w:color w:val="000000"/>
                <w:lang w:val="en-US" w:eastAsia="zh-CN"/>
              </w:rPr>
            </w:pPr>
            <w:r>
              <w:rPr>
                <w:rFonts w:hint="default" w:ascii="Times New Roman" w:hAnsi="Times New Roman" w:eastAsia="新宋体" w:cs="Times New Roman"/>
                <w:color w:val="000000"/>
                <w:lang w:val="en-US" w:eastAsia="zh-CN"/>
              </w:rPr>
              <w:t>76.59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noWrap w:val="0"/>
            <w:vAlign w:val="center"/>
          </w:tcPr>
          <w:p>
            <w:pPr>
              <w:rPr>
                <w:rFonts w:hint="default" w:ascii="Times New Roman" w:hAnsi="Times New Roman" w:eastAsia="新宋体" w:cs="Times New Roman"/>
                <w:color w:val="000000"/>
              </w:rPr>
            </w:pPr>
            <w:r>
              <w:rPr>
                <w:rFonts w:hint="default" w:ascii="Times New Roman" w:hAnsi="Times New Roman" w:eastAsia="新宋体" w:cs="Times New Roman"/>
                <w:color w:val="000000"/>
              </w:rPr>
              <w:t>2</w:t>
            </w:r>
          </w:p>
        </w:tc>
        <w:tc>
          <w:tcPr>
            <w:tcW w:w="1604" w:type="dxa"/>
            <w:noWrap w:val="0"/>
            <w:vAlign w:val="center"/>
          </w:tcPr>
          <w:p>
            <w:pPr>
              <w:rPr>
                <w:rFonts w:hint="default" w:ascii="Times New Roman" w:hAnsi="Times New Roman" w:eastAsia="新宋体" w:cs="Times New Roman"/>
                <w:color w:val="000000"/>
              </w:rPr>
            </w:pPr>
            <w:r>
              <w:rPr>
                <w:rFonts w:hint="default" w:ascii="Times New Roman" w:hAnsi="Times New Roman" w:eastAsia="新宋体" w:cs="Times New Roman"/>
                <w:color w:val="000000"/>
              </w:rPr>
              <w:t>学校</w:t>
            </w:r>
            <w:r>
              <w:rPr>
                <w:rFonts w:hint="default" w:ascii="Times New Roman" w:hAnsi="Times New Roman" w:eastAsia="新宋体" w:cs="Times New Roman"/>
                <w:color w:val="000000"/>
              </w:rPr>
              <w:t>自有产权占地面积</w:t>
            </w:r>
          </w:p>
        </w:tc>
        <w:tc>
          <w:tcPr>
            <w:tcW w:w="713" w:type="dxa"/>
            <w:noWrap w:val="0"/>
            <w:vAlign w:val="center"/>
          </w:tcPr>
          <w:p>
            <w:pPr>
              <w:rPr>
                <w:rFonts w:hint="default" w:ascii="Times New Roman" w:hAnsi="Times New Roman" w:eastAsia="新宋体" w:cs="Times New Roman"/>
                <w:color w:val="000000"/>
              </w:rPr>
            </w:pPr>
            <w:r>
              <w:rPr>
                <w:rFonts w:hint="default" w:ascii="Times New Roman" w:hAnsi="Times New Roman" w:eastAsia="新宋体" w:cs="Times New Roman"/>
                <w:color w:val="000000"/>
              </w:rPr>
              <w:t>m</w:t>
            </w:r>
            <w:r>
              <w:rPr>
                <w:rFonts w:hint="default" w:ascii="Times New Roman" w:hAnsi="Times New Roman" w:eastAsia="新宋体" w:cs="Times New Roman"/>
                <w:color w:val="000000"/>
                <w:vertAlign w:val="superscript"/>
              </w:rPr>
              <w:t>2</w:t>
            </w:r>
          </w:p>
        </w:tc>
        <w:tc>
          <w:tcPr>
            <w:tcW w:w="1464" w:type="dxa"/>
            <w:noWrap w:val="0"/>
            <w:vAlign w:val="center"/>
          </w:tcPr>
          <w:p>
            <w:pPr>
              <w:jc w:val="center"/>
              <w:rPr>
                <w:rFonts w:hint="default" w:ascii="Times New Roman" w:hAnsi="Times New Roman" w:eastAsia="新宋体" w:cs="Times New Roman"/>
                <w:color w:val="000000"/>
                <w:szCs w:val="21"/>
              </w:rPr>
            </w:pPr>
            <w:r>
              <w:rPr>
                <w:rFonts w:hint="default" w:ascii="Times New Roman" w:hAnsi="Times New Roman" w:eastAsia="新宋体" w:cs="Times New Roman"/>
                <w:color w:val="000000"/>
              </w:rPr>
              <w:t>164666.5</w:t>
            </w:r>
          </w:p>
        </w:tc>
        <w:tc>
          <w:tcPr>
            <w:tcW w:w="1447" w:type="dxa"/>
            <w:noWrap w:val="0"/>
            <w:vAlign w:val="center"/>
          </w:tcPr>
          <w:p>
            <w:pPr>
              <w:jc w:val="center"/>
              <w:rPr>
                <w:rFonts w:hint="default" w:ascii="Times New Roman" w:hAnsi="Times New Roman" w:eastAsia="新宋体" w:cs="Times New Roman"/>
                <w:color w:val="000000"/>
                <w:szCs w:val="21"/>
              </w:rPr>
            </w:pPr>
            <w:r>
              <w:rPr>
                <w:rFonts w:hint="default" w:ascii="Times New Roman" w:hAnsi="Times New Roman" w:eastAsia="新宋体" w:cs="Times New Roman"/>
                <w:color w:val="000000"/>
              </w:rPr>
              <w:t>164666.5</w:t>
            </w:r>
          </w:p>
        </w:tc>
        <w:tc>
          <w:tcPr>
            <w:tcW w:w="1304" w:type="dxa"/>
            <w:noWrap w:val="0"/>
            <w:vAlign w:val="center"/>
          </w:tcPr>
          <w:p>
            <w:pPr>
              <w:jc w:val="center"/>
              <w:rPr>
                <w:rFonts w:hint="default" w:ascii="Times New Roman" w:hAnsi="Times New Roman" w:eastAsia="新宋体" w:cs="Times New Roman"/>
                <w:color w:val="000000"/>
              </w:rPr>
            </w:pPr>
            <w:r>
              <w:rPr>
                <w:rFonts w:hint="default" w:ascii="Times New Roman" w:hAnsi="Times New Roman" w:eastAsia="新宋体" w:cs="Times New Roman"/>
                <w:color w:val="000000"/>
                <w:lang w:val="en-US" w:eastAsia="zh-CN"/>
              </w:rPr>
              <w:t>79.43</w:t>
            </w:r>
          </w:p>
        </w:tc>
        <w:tc>
          <w:tcPr>
            <w:tcW w:w="1306" w:type="dxa"/>
            <w:noWrap w:val="0"/>
            <w:vAlign w:val="center"/>
          </w:tcPr>
          <w:p>
            <w:pPr>
              <w:jc w:val="center"/>
              <w:rPr>
                <w:rFonts w:hint="default" w:ascii="Times New Roman" w:hAnsi="Times New Roman" w:eastAsia="新宋体" w:cs="Times New Roman"/>
                <w:color w:val="000000"/>
              </w:rPr>
            </w:pPr>
            <w:r>
              <w:rPr>
                <w:rFonts w:hint="default" w:ascii="Times New Roman" w:hAnsi="Times New Roman" w:eastAsia="新宋体" w:cs="Times New Roman"/>
                <w:color w:val="000000"/>
                <w:lang w:val="en-US" w:eastAsia="zh-CN"/>
              </w:rPr>
              <w:t>76.59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noWrap w:val="0"/>
            <w:vAlign w:val="center"/>
          </w:tcPr>
          <w:p>
            <w:pPr>
              <w:rPr>
                <w:rFonts w:hint="default" w:ascii="Times New Roman" w:hAnsi="Times New Roman" w:eastAsia="新宋体" w:cs="Times New Roman"/>
                <w:color w:val="000000"/>
              </w:rPr>
            </w:pPr>
            <w:r>
              <w:rPr>
                <w:rFonts w:hint="default" w:ascii="Times New Roman" w:hAnsi="Times New Roman" w:eastAsia="新宋体" w:cs="Times New Roman"/>
                <w:color w:val="000000"/>
              </w:rPr>
              <w:t>3</w:t>
            </w:r>
          </w:p>
        </w:tc>
        <w:tc>
          <w:tcPr>
            <w:tcW w:w="1604" w:type="dxa"/>
            <w:noWrap w:val="0"/>
            <w:vAlign w:val="center"/>
          </w:tcPr>
          <w:p>
            <w:pPr>
              <w:rPr>
                <w:rFonts w:hint="default" w:ascii="Times New Roman" w:hAnsi="Times New Roman" w:eastAsia="新宋体" w:cs="Times New Roman"/>
                <w:color w:val="000000"/>
                <w:kern w:val="0"/>
              </w:rPr>
            </w:pPr>
            <w:r>
              <w:rPr>
                <w:rFonts w:hint="default" w:ascii="Times New Roman" w:hAnsi="Times New Roman" w:eastAsia="新宋体" w:cs="Times New Roman"/>
                <w:color w:val="000000"/>
                <w:kern w:val="0"/>
              </w:rPr>
              <w:t>校舍建筑面积</w:t>
            </w:r>
          </w:p>
        </w:tc>
        <w:tc>
          <w:tcPr>
            <w:tcW w:w="713" w:type="dxa"/>
            <w:noWrap w:val="0"/>
            <w:vAlign w:val="center"/>
          </w:tcPr>
          <w:p>
            <w:pPr>
              <w:rPr>
                <w:rFonts w:hint="default" w:ascii="Times New Roman" w:hAnsi="Times New Roman" w:eastAsia="新宋体" w:cs="Times New Roman"/>
                <w:color w:val="000000"/>
              </w:rPr>
            </w:pPr>
            <w:r>
              <w:rPr>
                <w:rFonts w:hint="default" w:ascii="Times New Roman" w:hAnsi="Times New Roman" w:eastAsia="新宋体" w:cs="Times New Roman"/>
                <w:color w:val="000000"/>
              </w:rPr>
              <w:t>m</w:t>
            </w:r>
            <w:r>
              <w:rPr>
                <w:rFonts w:hint="default" w:ascii="Times New Roman" w:hAnsi="Times New Roman" w:eastAsia="新宋体" w:cs="Times New Roman"/>
                <w:color w:val="000000"/>
                <w:vertAlign w:val="superscript"/>
              </w:rPr>
              <w:t>2</w:t>
            </w:r>
          </w:p>
        </w:tc>
        <w:tc>
          <w:tcPr>
            <w:tcW w:w="1464" w:type="dxa"/>
            <w:noWrap w:val="0"/>
            <w:vAlign w:val="center"/>
          </w:tcPr>
          <w:p>
            <w:pPr>
              <w:jc w:val="center"/>
              <w:rPr>
                <w:rFonts w:hint="default" w:ascii="Times New Roman" w:hAnsi="Times New Roman" w:eastAsia="新宋体" w:cs="Times New Roman"/>
                <w:color w:val="000000"/>
                <w:szCs w:val="21"/>
              </w:rPr>
            </w:pPr>
            <w:r>
              <w:rPr>
                <w:rFonts w:hint="default" w:ascii="Times New Roman" w:hAnsi="Times New Roman" w:eastAsia="新宋体" w:cs="Times New Roman"/>
                <w:color w:val="000000"/>
                <w:szCs w:val="21"/>
              </w:rPr>
              <w:t>85149.16</w:t>
            </w:r>
          </w:p>
        </w:tc>
        <w:tc>
          <w:tcPr>
            <w:tcW w:w="1447" w:type="dxa"/>
            <w:noWrap w:val="0"/>
            <w:vAlign w:val="center"/>
          </w:tcPr>
          <w:p>
            <w:pPr>
              <w:jc w:val="center"/>
              <w:rPr>
                <w:rFonts w:hint="default" w:ascii="Times New Roman" w:hAnsi="Times New Roman" w:eastAsia="新宋体" w:cs="Times New Roman"/>
                <w:color w:val="000000"/>
                <w:szCs w:val="21"/>
              </w:rPr>
            </w:pPr>
            <w:r>
              <w:rPr>
                <w:rFonts w:hint="default" w:ascii="Times New Roman" w:hAnsi="Times New Roman" w:eastAsia="新宋体" w:cs="Times New Roman"/>
                <w:color w:val="000000"/>
                <w:szCs w:val="21"/>
              </w:rPr>
              <w:t>85149.16</w:t>
            </w:r>
          </w:p>
        </w:tc>
        <w:tc>
          <w:tcPr>
            <w:tcW w:w="1304" w:type="dxa"/>
            <w:noWrap w:val="0"/>
            <w:vAlign w:val="center"/>
          </w:tcPr>
          <w:p>
            <w:pPr>
              <w:jc w:val="center"/>
              <w:rPr>
                <w:rFonts w:hint="default" w:ascii="Times New Roman" w:hAnsi="Times New Roman" w:eastAsia="新宋体" w:cs="Times New Roman"/>
                <w:color w:val="000000"/>
                <w:lang w:val="en-US" w:eastAsia="zh-CN"/>
              </w:rPr>
            </w:pPr>
            <w:r>
              <w:rPr>
                <w:rFonts w:hint="default" w:ascii="Times New Roman" w:hAnsi="Times New Roman" w:eastAsia="新宋体" w:cs="Times New Roman"/>
                <w:color w:val="000000"/>
                <w:lang w:val="en-US" w:eastAsia="zh-CN"/>
              </w:rPr>
              <w:t>41.08</w:t>
            </w:r>
          </w:p>
        </w:tc>
        <w:tc>
          <w:tcPr>
            <w:tcW w:w="1306" w:type="dxa"/>
            <w:noWrap w:val="0"/>
            <w:vAlign w:val="center"/>
          </w:tcPr>
          <w:p>
            <w:pPr>
              <w:jc w:val="center"/>
              <w:rPr>
                <w:rFonts w:hint="default" w:ascii="Times New Roman" w:hAnsi="Times New Roman" w:eastAsia="新宋体" w:cs="Times New Roman"/>
                <w:color w:val="000000"/>
                <w:lang w:val="en-US" w:eastAsia="zh-CN"/>
              </w:rPr>
            </w:pPr>
            <w:r>
              <w:rPr>
                <w:rFonts w:hint="default" w:ascii="Times New Roman" w:hAnsi="Times New Roman" w:eastAsia="新宋体" w:cs="Times New Roman"/>
                <w:color w:val="000000"/>
                <w:lang w:val="en-US" w:eastAsia="zh-CN"/>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noWrap w:val="0"/>
            <w:vAlign w:val="center"/>
          </w:tcPr>
          <w:p>
            <w:pPr>
              <w:rPr>
                <w:rFonts w:hint="default" w:ascii="Times New Roman" w:hAnsi="Times New Roman" w:eastAsia="新宋体" w:cs="Times New Roman"/>
                <w:color w:val="000000"/>
              </w:rPr>
            </w:pPr>
            <w:r>
              <w:rPr>
                <w:rFonts w:hint="default" w:ascii="Times New Roman" w:hAnsi="Times New Roman" w:eastAsia="新宋体" w:cs="Times New Roman"/>
                <w:color w:val="000000"/>
              </w:rPr>
              <w:t>4</w:t>
            </w:r>
          </w:p>
        </w:tc>
        <w:tc>
          <w:tcPr>
            <w:tcW w:w="1604" w:type="dxa"/>
            <w:noWrap w:val="0"/>
            <w:vAlign w:val="center"/>
          </w:tcPr>
          <w:p>
            <w:pPr>
              <w:rPr>
                <w:rFonts w:hint="default" w:ascii="Times New Roman" w:hAnsi="Times New Roman" w:eastAsia="新宋体" w:cs="Times New Roman"/>
                <w:color w:val="000000"/>
              </w:rPr>
            </w:pPr>
            <w:r>
              <w:rPr>
                <w:rFonts w:hint="default" w:ascii="Times New Roman" w:hAnsi="Times New Roman" w:eastAsia="新宋体" w:cs="Times New Roman"/>
                <w:color w:val="000000"/>
              </w:rPr>
              <w:t>学校自有产权建筑面积</w:t>
            </w:r>
          </w:p>
        </w:tc>
        <w:tc>
          <w:tcPr>
            <w:tcW w:w="713" w:type="dxa"/>
            <w:noWrap w:val="0"/>
            <w:vAlign w:val="center"/>
          </w:tcPr>
          <w:p>
            <w:pPr>
              <w:rPr>
                <w:rFonts w:hint="default" w:ascii="Times New Roman" w:hAnsi="Times New Roman" w:eastAsia="新宋体" w:cs="Times New Roman"/>
                <w:color w:val="000000"/>
              </w:rPr>
            </w:pPr>
            <w:r>
              <w:rPr>
                <w:rFonts w:hint="default" w:ascii="Times New Roman" w:hAnsi="Times New Roman" w:eastAsia="新宋体" w:cs="Times New Roman"/>
                <w:color w:val="000000"/>
              </w:rPr>
              <w:t>m</w:t>
            </w:r>
            <w:r>
              <w:rPr>
                <w:rFonts w:hint="default" w:ascii="Times New Roman" w:hAnsi="Times New Roman" w:eastAsia="新宋体" w:cs="Times New Roman"/>
                <w:color w:val="000000"/>
                <w:vertAlign w:val="superscript"/>
              </w:rPr>
              <w:t>2</w:t>
            </w:r>
          </w:p>
        </w:tc>
        <w:tc>
          <w:tcPr>
            <w:tcW w:w="1464" w:type="dxa"/>
            <w:noWrap w:val="0"/>
            <w:vAlign w:val="center"/>
          </w:tcPr>
          <w:p>
            <w:pPr>
              <w:jc w:val="center"/>
              <w:rPr>
                <w:rFonts w:hint="default" w:ascii="Times New Roman" w:hAnsi="Times New Roman" w:eastAsia="新宋体" w:cs="Times New Roman"/>
                <w:color w:val="000000"/>
                <w:szCs w:val="21"/>
              </w:rPr>
            </w:pPr>
            <w:r>
              <w:rPr>
                <w:rFonts w:hint="default" w:ascii="Times New Roman" w:hAnsi="Times New Roman" w:eastAsia="新宋体" w:cs="Times New Roman"/>
                <w:color w:val="000000"/>
                <w:szCs w:val="21"/>
              </w:rPr>
              <w:t>85149.16</w:t>
            </w:r>
          </w:p>
        </w:tc>
        <w:tc>
          <w:tcPr>
            <w:tcW w:w="1447" w:type="dxa"/>
            <w:noWrap w:val="0"/>
            <w:vAlign w:val="center"/>
          </w:tcPr>
          <w:p>
            <w:pPr>
              <w:jc w:val="center"/>
              <w:rPr>
                <w:rFonts w:hint="default" w:ascii="Times New Roman" w:hAnsi="Times New Roman" w:eastAsia="新宋体" w:cs="Times New Roman"/>
                <w:color w:val="000000"/>
                <w:szCs w:val="21"/>
              </w:rPr>
            </w:pPr>
            <w:r>
              <w:rPr>
                <w:rFonts w:hint="default" w:ascii="Times New Roman" w:hAnsi="Times New Roman" w:eastAsia="新宋体" w:cs="Times New Roman"/>
                <w:color w:val="000000"/>
                <w:szCs w:val="21"/>
              </w:rPr>
              <w:t>85149.16</w:t>
            </w:r>
          </w:p>
        </w:tc>
        <w:tc>
          <w:tcPr>
            <w:tcW w:w="1304" w:type="dxa"/>
            <w:noWrap w:val="0"/>
            <w:vAlign w:val="center"/>
          </w:tcPr>
          <w:p>
            <w:pPr>
              <w:jc w:val="center"/>
              <w:rPr>
                <w:rFonts w:hint="default" w:ascii="Times New Roman" w:hAnsi="Times New Roman" w:eastAsia="新宋体" w:cs="Times New Roman"/>
                <w:color w:val="000000"/>
                <w:lang w:val="en-US" w:eastAsia="zh-CN"/>
              </w:rPr>
            </w:pPr>
            <w:r>
              <w:rPr>
                <w:rFonts w:hint="default" w:ascii="Times New Roman" w:hAnsi="Times New Roman" w:eastAsia="新宋体" w:cs="Times New Roman"/>
                <w:color w:val="000000"/>
                <w:lang w:val="en-US" w:eastAsia="zh-CN"/>
              </w:rPr>
              <w:t>41.08</w:t>
            </w:r>
          </w:p>
        </w:tc>
        <w:tc>
          <w:tcPr>
            <w:tcW w:w="1306" w:type="dxa"/>
            <w:noWrap w:val="0"/>
            <w:vAlign w:val="center"/>
          </w:tcPr>
          <w:p>
            <w:pPr>
              <w:jc w:val="center"/>
              <w:rPr>
                <w:rFonts w:hint="default" w:ascii="Times New Roman" w:hAnsi="Times New Roman" w:eastAsia="新宋体" w:cs="Times New Roman"/>
                <w:color w:val="000000"/>
                <w:lang w:val="en-US" w:eastAsia="zh-CN"/>
              </w:rPr>
            </w:pPr>
            <w:r>
              <w:rPr>
                <w:rFonts w:hint="default" w:ascii="Times New Roman" w:hAnsi="Times New Roman" w:eastAsia="新宋体" w:cs="Times New Roman"/>
                <w:color w:val="000000"/>
                <w:lang w:val="en-US" w:eastAsia="zh-CN"/>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 w:type="dxa"/>
            <w:noWrap w:val="0"/>
            <w:vAlign w:val="center"/>
          </w:tcPr>
          <w:p>
            <w:pPr>
              <w:rPr>
                <w:rFonts w:hint="default" w:ascii="Times New Roman" w:hAnsi="Times New Roman" w:eastAsia="新宋体" w:cs="Times New Roman"/>
                <w:color w:val="000000"/>
              </w:rPr>
            </w:pPr>
            <w:r>
              <w:rPr>
                <w:rFonts w:hint="default" w:ascii="Times New Roman" w:hAnsi="Times New Roman" w:eastAsia="新宋体" w:cs="Times New Roman"/>
                <w:color w:val="000000"/>
              </w:rPr>
              <w:t>5</w:t>
            </w:r>
          </w:p>
        </w:tc>
        <w:tc>
          <w:tcPr>
            <w:tcW w:w="1604" w:type="dxa"/>
            <w:noWrap w:val="0"/>
            <w:vAlign w:val="center"/>
          </w:tcPr>
          <w:p>
            <w:pPr>
              <w:rPr>
                <w:rFonts w:hint="default" w:ascii="Times New Roman" w:hAnsi="Times New Roman" w:eastAsia="新宋体" w:cs="Times New Roman"/>
                <w:color w:val="000000"/>
                <w:kern w:val="0"/>
              </w:rPr>
            </w:pPr>
            <w:r>
              <w:rPr>
                <w:rFonts w:hint="default" w:ascii="Times New Roman" w:hAnsi="Times New Roman" w:eastAsia="新宋体" w:cs="Times New Roman"/>
                <w:color w:val="000000"/>
                <w:kern w:val="0"/>
              </w:rPr>
              <w:t>固定资产总值</w:t>
            </w:r>
          </w:p>
        </w:tc>
        <w:tc>
          <w:tcPr>
            <w:tcW w:w="713" w:type="dxa"/>
            <w:noWrap w:val="0"/>
            <w:vAlign w:val="center"/>
          </w:tcPr>
          <w:p>
            <w:pPr>
              <w:rPr>
                <w:rFonts w:hint="default" w:ascii="Times New Roman" w:hAnsi="Times New Roman" w:eastAsia="新宋体" w:cs="Times New Roman"/>
                <w:color w:val="000000"/>
                <w:kern w:val="0"/>
              </w:rPr>
            </w:pPr>
            <w:r>
              <w:rPr>
                <w:rFonts w:hint="default" w:ascii="Times New Roman" w:hAnsi="Times New Roman" w:eastAsia="新宋体" w:cs="Times New Roman"/>
                <w:color w:val="000000"/>
                <w:kern w:val="0"/>
              </w:rPr>
              <w:t>万元</w:t>
            </w:r>
          </w:p>
        </w:tc>
        <w:tc>
          <w:tcPr>
            <w:tcW w:w="1464" w:type="dxa"/>
            <w:noWrap w:val="0"/>
            <w:vAlign w:val="center"/>
          </w:tcPr>
          <w:p>
            <w:pPr>
              <w:jc w:val="center"/>
              <w:rPr>
                <w:rFonts w:hint="default" w:ascii="Times New Roman" w:hAnsi="Times New Roman" w:eastAsia="新宋体" w:cs="Times New Roman"/>
                <w:color w:val="000000"/>
              </w:rPr>
            </w:pPr>
            <w:r>
              <w:rPr>
                <w:rFonts w:hint="default" w:ascii="Times New Roman" w:hAnsi="Times New Roman" w:eastAsia="新宋体" w:cs="Times New Roman"/>
                <w:color w:val="000000"/>
              </w:rPr>
              <w:t>23540.34</w:t>
            </w:r>
          </w:p>
        </w:tc>
        <w:tc>
          <w:tcPr>
            <w:tcW w:w="1447" w:type="dxa"/>
            <w:noWrap w:val="0"/>
            <w:vAlign w:val="center"/>
          </w:tcPr>
          <w:p>
            <w:pPr>
              <w:jc w:val="center"/>
              <w:rPr>
                <w:rFonts w:hint="default" w:ascii="Times New Roman" w:hAnsi="Times New Roman" w:eastAsia="新宋体" w:cs="Times New Roman"/>
                <w:color w:val="000000"/>
              </w:rPr>
            </w:pPr>
            <w:r>
              <w:rPr>
                <w:rFonts w:hint="default" w:ascii="Times New Roman" w:hAnsi="Times New Roman" w:eastAsia="新宋体" w:cs="Times New Roman"/>
                <w:color w:val="000000"/>
              </w:rPr>
              <w:t>25381.48</w:t>
            </w:r>
          </w:p>
        </w:tc>
        <w:tc>
          <w:tcPr>
            <w:tcW w:w="1304" w:type="dxa"/>
            <w:noWrap w:val="0"/>
            <w:vAlign w:val="center"/>
          </w:tcPr>
          <w:p>
            <w:pPr>
              <w:jc w:val="center"/>
              <w:rPr>
                <w:rFonts w:hint="default" w:ascii="Times New Roman" w:hAnsi="Times New Roman" w:eastAsia="新宋体" w:cs="Times New Roman"/>
                <w:color w:val="000000"/>
                <w:lang w:val="en-US" w:eastAsia="zh-CN"/>
              </w:rPr>
            </w:pPr>
            <w:r>
              <w:rPr>
                <w:rFonts w:hint="default" w:ascii="Times New Roman" w:hAnsi="Times New Roman" w:eastAsia="新宋体" w:cs="Times New Roman"/>
                <w:color w:val="000000"/>
                <w:lang w:val="en-US" w:eastAsia="zh-CN"/>
              </w:rPr>
              <w:t>11.36</w:t>
            </w:r>
          </w:p>
        </w:tc>
        <w:tc>
          <w:tcPr>
            <w:tcW w:w="1306" w:type="dxa"/>
            <w:noWrap w:val="0"/>
            <w:vAlign w:val="center"/>
          </w:tcPr>
          <w:p>
            <w:pPr>
              <w:jc w:val="center"/>
              <w:rPr>
                <w:rFonts w:hint="default" w:ascii="Times New Roman" w:hAnsi="Times New Roman" w:eastAsia="新宋体" w:cs="Times New Roman"/>
                <w:color w:val="000000"/>
                <w:lang w:val="en-US" w:eastAsia="zh-CN"/>
              </w:rPr>
            </w:pPr>
            <w:r>
              <w:rPr>
                <w:rFonts w:hint="default" w:ascii="Times New Roman" w:hAnsi="Times New Roman" w:eastAsia="新宋体" w:cs="Times New Roman"/>
                <w:color w:val="000000"/>
                <w:lang w:val="en-US" w:eastAsia="zh-CN"/>
              </w:rPr>
              <w:t>11.81</w:t>
            </w:r>
          </w:p>
        </w:tc>
      </w:tr>
    </w:tbl>
    <w:p>
      <w:pPr>
        <w:spacing w:line="360" w:lineRule="auto"/>
        <w:ind w:firstLine="600"/>
        <w:rPr>
          <w:rFonts w:hint="default" w:ascii="Times New Roman" w:hAnsi="Times New Roman" w:eastAsia="仿宋_GB2312" w:cs="Times New Roman"/>
          <w:sz w:val="32"/>
          <w:szCs w:val="32"/>
        </w:rPr>
      </w:pPr>
    </w:p>
    <w:p>
      <w:pPr>
        <w:pStyle w:val="2"/>
        <w:rPr>
          <w:rFonts w:hint="default" w:ascii="Times New Roman" w:hAnsi="Times New Roman" w:eastAsia="仿宋_GB2312" w:cs="Times New Roman"/>
          <w:sz w:val="32"/>
          <w:szCs w:val="32"/>
        </w:rPr>
      </w:pPr>
    </w:p>
    <w:p>
      <w:pPr>
        <w:pStyle w:val="2"/>
        <w:jc w:val="center"/>
        <w:rPr>
          <w:rFonts w:hint="default" w:ascii="Times New Roman" w:hAnsi="Times New Roman" w:eastAsia="黑体" w:cs="Times New Roman"/>
          <w:sz w:val="24"/>
          <w:szCs w:val="24"/>
          <w:lang w:val="en-US" w:eastAsia="zh-CN"/>
        </w:rPr>
      </w:pPr>
      <w:r>
        <w:rPr>
          <w:rFonts w:hint="default" w:ascii="Times New Roman" w:hAnsi="Times New Roman" w:eastAsia="黑体" w:cs="Times New Roman"/>
          <w:b/>
          <w:bCs/>
          <w:sz w:val="24"/>
          <w:szCs w:val="24"/>
        </w:rPr>
        <w:t>表</w:t>
      </w:r>
      <w:r>
        <w:rPr>
          <w:rFonts w:hint="default" w:ascii="Times New Roman" w:hAnsi="Times New Roman" w:eastAsia="黑体" w:cs="Times New Roman"/>
          <w:b/>
          <w:bCs/>
          <w:sz w:val="24"/>
          <w:szCs w:val="24"/>
          <w:lang w:val="en-US" w:eastAsia="zh-CN"/>
        </w:rPr>
        <w:t>7-2</w:t>
      </w:r>
      <w:r>
        <w:rPr>
          <w:rFonts w:hint="default" w:ascii="Times New Roman" w:hAnsi="Times New Roman" w:eastAsia="黑体" w:cs="Times New Roman"/>
          <w:b/>
          <w:bCs/>
          <w:sz w:val="24"/>
          <w:szCs w:val="24"/>
        </w:rPr>
        <w:t xml:space="preserve">  </w:t>
      </w:r>
      <w:r>
        <w:rPr>
          <w:rFonts w:hint="default" w:ascii="Times New Roman" w:hAnsi="Times New Roman" w:eastAsia="黑体" w:cs="Times New Roman"/>
          <w:b/>
          <w:bCs/>
          <w:sz w:val="24"/>
          <w:szCs w:val="24"/>
        </w:rPr>
        <w:t>202</w:t>
      </w:r>
      <w:r>
        <w:rPr>
          <w:rFonts w:hint="default" w:ascii="Times New Roman" w:hAnsi="Times New Roman" w:eastAsia="黑体" w:cs="Times New Roman"/>
          <w:b/>
          <w:bCs/>
          <w:sz w:val="24"/>
          <w:szCs w:val="24"/>
        </w:rPr>
        <w:t>1</w:t>
      </w:r>
      <w:r>
        <w:rPr>
          <w:rFonts w:hint="default" w:ascii="Times New Roman" w:hAnsi="Times New Roman" w:eastAsia="黑体" w:cs="Times New Roman"/>
          <w:b/>
          <w:bCs/>
          <w:sz w:val="24"/>
          <w:szCs w:val="24"/>
        </w:rPr>
        <w:t>学年</w:t>
      </w:r>
      <w:r>
        <w:rPr>
          <w:rFonts w:hint="default" w:ascii="Times New Roman" w:hAnsi="Times New Roman" w:eastAsia="黑体" w:cs="Times New Roman"/>
          <w:b/>
          <w:bCs/>
          <w:sz w:val="24"/>
          <w:szCs w:val="24"/>
          <w:lang w:val="en-US" w:eastAsia="zh-CN"/>
        </w:rPr>
        <w:t>学校固定资产表</w:t>
      </w:r>
    </w:p>
    <w:tbl>
      <w:tblPr>
        <w:tblStyle w:val="6"/>
        <w:tblpPr w:leftFromText="180" w:rightFromText="180" w:vertAnchor="text" w:horzAnchor="page" w:tblpX="2167" w:tblpY="148"/>
        <w:tblOverlap w:val="never"/>
        <w:tblW w:w="74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726"/>
        <w:gridCol w:w="1856"/>
        <w:gridCol w:w="18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3726" w:type="dxa"/>
            <w:vMerge w:val="restart"/>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指标名称</w:t>
            </w:r>
          </w:p>
        </w:tc>
        <w:tc>
          <w:tcPr>
            <w:tcW w:w="1856" w:type="dxa"/>
            <w:vMerge w:val="restart"/>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计量单位</w:t>
            </w:r>
          </w:p>
        </w:tc>
        <w:tc>
          <w:tcPr>
            <w:tcW w:w="1857" w:type="dxa"/>
            <w:vMerge w:val="restart"/>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cs="Times New Roman"/>
                <w:i w:val="0"/>
                <w:iCs w:val="0"/>
                <w:color w:val="000000"/>
                <w:kern w:val="0"/>
                <w:sz w:val="18"/>
                <w:szCs w:val="18"/>
                <w:u w:val="none"/>
                <w:lang w:val="en-US" w:eastAsia="zh-CN" w:bidi="ar"/>
              </w:rPr>
              <w:t>2021年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3726" w:type="dxa"/>
            <w:vMerge w:val="continue"/>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jc w:val="center"/>
              <w:rPr>
                <w:rFonts w:hint="default" w:ascii="Times New Roman" w:hAnsi="Times New Roman" w:eastAsia="宋体" w:cs="Times New Roman"/>
                <w:i w:val="0"/>
                <w:iCs w:val="0"/>
                <w:color w:val="000000"/>
                <w:sz w:val="18"/>
                <w:szCs w:val="18"/>
                <w:u w:val="none"/>
              </w:rPr>
            </w:pPr>
          </w:p>
        </w:tc>
        <w:tc>
          <w:tcPr>
            <w:tcW w:w="1856" w:type="dxa"/>
            <w:vMerge w:val="continue"/>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jc w:val="center"/>
              <w:rPr>
                <w:rFonts w:hint="default" w:ascii="Times New Roman" w:hAnsi="Times New Roman" w:eastAsia="宋体" w:cs="Times New Roman"/>
                <w:i w:val="0"/>
                <w:iCs w:val="0"/>
                <w:color w:val="000000"/>
                <w:sz w:val="18"/>
                <w:szCs w:val="18"/>
                <w:u w:val="none"/>
              </w:rPr>
            </w:pPr>
          </w:p>
        </w:tc>
        <w:tc>
          <w:tcPr>
            <w:tcW w:w="1857" w:type="dxa"/>
            <w:vMerge w:val="continue"/>
            <w:tcBorders>
              <w:top w:val="single" w:color="000000" w:sz="4" w:space="0"/>
              <w:left w:val="single" w:color="000000" w:sz="4" w:space="0"/>
              <w:bottom w:val="single" w:color="000000" w:sz="4" w:space="0"/>
              <w:right w:val="single" w:color="000000" w:sz="4" w:space="0"/>
            </w:tcBorders>
            <w:shd w:val="clear" w:color="auto" w:fill="5B9BD5" w:themeFill="accent1"/>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占地面积</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平方米</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164666.5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 #绿化用地面积</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平方米</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105111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 #运动场地面积</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平方米</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21930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校园足球场</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个</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 11人制足球场</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个</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 7人制足球场</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个</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 5人制足球场</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个</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图书</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册</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153612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 #当年新增</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册</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数字资源量</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 电子图书</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册</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51239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 电子期刊</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册</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 学位论文</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册</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 音视频</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小时</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职业教育仿真实训资源量</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套</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 仿真实验软件</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套</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 仿真实训软件</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套</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 仿真实习软件</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套</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数字终端数</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台</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 #教师终端数</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台</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 #学生终端数</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台</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教室</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间</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 #网络多媒体教室</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间</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固定资产总值</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万元</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25381.4842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 #教学科研实习仪器设备资产值</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万元</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1824.7728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  #当年新增</w:t>
            </w: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万元</w:t>
            </w:r>
          </w:p>
        </w:tc>
        <w:tc>
          <w:tcPr>
            <w:tcW w:w="1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186.234</w:t>
            </w:r>
          </w:p>
        </w:tc>
      </w:tr>
    </w:tbl>
    <w:p>
      <w:pPr>
        <w:pStyle w:val="2"/>
        <w:rPr>
          <w:rFonts w:hint="default" w:ascii="Times New Roman" w:hAnsi="Times New Roman" w:eastAsia="仿宋_GB2312" w:cs="Times New Roman"/>
          <w:lang w:val="en-US" w:eastAsia="zh-CN"/>
        </w:rPr>
      </w:pPr>
    </w:p>
    <w:p>
      <w:pPr>
        <w:spacing w:line="360" w:lineRule="auto"/>
        <w:ind w:firstLine="600"/>
        <w:rPr>
          <w:rFonts w:hint="default" w:ascii="Times New Roman" w:hAnsi="Times New Roman" w:eastAsia="仿宋_GB2312" w:cs="Times New Roman"/>
          <w:sz w:val="32"/>
          <w:szCs w:val="32"/>
          <w:lang w:val="en-US" w:eastAsia="zh-CN"/>
        </w:rPr>
      </w:pPr>
    </w:p>
    <w:p>
      <w:pPr>
        <w:spacing w:line="360" w:lineRule="auto"/>
        <w:ind w:firstLine="600"/>
        <w:rPr>
          <w:rFonts w:hint="default" w:ascii="Times New Roman" w:hAnsi="Times New Roman" w:eastAsia="仿宋_GB2312" w:cs="Times New Roman"/>
          <w:sz w:val="32"/>
          <w:szCs w:val="32"/>
          <w:lang w:val="en-US" w:eastAsia="zh-CN"/>
        </w:rPr>
      </w:pPr>
    </w:p>
    <w:p>
      <w:pPr>
        <w:spacing w:line="360" w:lineRule="auto"/>
        <w:ind w:firstLine="600"/>
        <w:rPr>
          <w:rFonts w:hint="default" w:ascii="Times New Roman" w:hAnsi="Times New Roman" w:eastAsia="仿宋_GB2312" w:cs="Times New Roman"/>
          <w:sz w:val="32"/>
          <w:szCs w:val="32"/>
          <w:lang w:val="en-US" w:eastAsia="zh-CN"/>
        </w:rPr>
      </w:pPr>
    </w:p>
    <w:p>
      <w:pPr>
        <w:spacing w:line="360" w:lineRule="auto"/>
        <w:ind w:firstLine="600"/>
        <w:rPr>
          <w:rFonts w:hint="default" w:ascii="Times New Roman" w:hAnsi="Times New Roman" w:eastAsia="仿宋_GB2312" w:cs="Times New Roman"/>
          <w:sz w:val="32"/>
          <w:szCs w:val="32"/>
          <w:lang w:val="en-US" w:eastAsia="zh-CN"/>
        </w:rPr>
      </w:pPr>
    </w:p>
    <w:p>
      <w:pPr>
        <w:spacing w:line="360" w:lineRule="auto"/>
        <w:ind w:firstLine="600"/>
        <w:rPr>
          <w:rFonts w:hint="default" w:ascii="Times New Roman" w:hAnsi="Times New Roman" w:eastAsia="仿宋_GB2312" w:cs="Times New Roman"/>
          <w:sz w:val="32"/>
          <w:szCs w:val="32"/>
          <w:lang w:val="en-US" w:eastAsia="zh-CN"/>
        </w:rPr>
      </w:pPr>
    </w:p>
    <w:p>
      <w:pPr>
        <w:spacing w:line="360" w:lineRule="auto"/>
        <w:ind w:firstLine="600"/>
        <w:rPr>
          <w:rFonts w:hint="default" w:ascii="Times New Roman" w:hAnsi="Times New Roman" w:eastAsia="仿宋_GB2312" w:cs="Times New Roman"/>
          <w:sz w:val="32"/>
          <w:szCs w:val="32"/>
          <w:lang w:val="en-US" w:eastAsia="zh-CN"/>
        </w:rPr>
      </w:pPr>
      <w:bookmarkStart w:id="8" w:name="_GoBack"/>
      <w:bookmarkEnd w:id="8"/>
    </w:p>
    <w:p>
      <w:pPr>
        <w:spacing w:line="360" w:lineRule="auto"/>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.2政策措施。</w:t>
      </w:r>
    </w:p>
    <w:p>
      <w:pPr>
        <w:keepNext w:val="0"/>
        <w:keepLines w:val="0"/>
        <w:pageBreakBefore w:val="0"/>
        <w:widowControl w:val="0"/>
        <w:kinsoku/>
        <w:wordWrap/>
        <w:overflowPunct/>
        <w:topLinePunct w:val="0"/>
        <w:bidi w:val="0"/>
        <w:adjustRightInd/>
        <w:spacing w:beforeAutospacing="0" w:afterAutospacing="0" w:line="600" w:lineRule="exact"/>
        <w:ind w:right="0" w:firstLine="640" w:firstLineChars="200"/>
        <w:textAlignment w:val="auto"/>
        <w:rPr>
          <w:rFonts w:hint="default" w:ascii="Times New Roman" w:hAnsi="Times New Roman" w:eastAsia="仿宋" w:cs="Times New Roman"/>
          <w:sz w:val="32"/>
          <w:szCs w:val="32"/>
        </w:rPr>
      </w:pPr>
      <w:r>
        <w:rPr>
          <w:rFonts w:hint="default" w:ascii="Times New Roman" w:hAnsi="Times New Roman" w:eastAsia="楷体" w:cs="Times New Roman"/>
          <w:sz w:val="32"/>
          <w:szCs w:val="32"/>
          <w:lang w:eastAsia="zh-CN"/>
        </w:rPr>
        <w:t>（一）</w:t>
      </w:r>
      <w:r>
        <w:rPr>
          <w:rFonts w:hint="default" w:ascii="Times New Roman" w:hAnsi="Times New Roman" w:eastAsia="楷体" w:cs="Times New Roman"/>
          <w:sz w:val="32"/>
          <w:szCs w:val="32"/>
        </w:rPr>
        <w:t>建立健全评价体系，有序推动持续发展。</w:t>
      </w:r>
      <w:r>
        <w:rPr>
          <w:rFonts w:hint="default" w:ascii="Times New Roman" w:hAnsi="Times New Roman" w:eastAsia="仿宋" w:cs="Times New Roman"/>
          <w:sz w:val="32"/>
          <w:szCs w:val="32"/>
        </w:rPr>
        <w:t>2021年建立</w:t>
      </w:r>
      <w:r>
        <w:rPr>
          <w:rFonts w:hint="default" w:ascii="Times New Roman" w:hAnsi="Times New Roman" w:eastAsia="仿宋" w:cs="Times New Roman"/>
          <w:sz w:val="32"/>
          <w:szCs w:val="32"/>
          <w:lang w:val="en-US" w:eastAsia="zh-CN"/>
        </w:rPr>
        <w:t>了</w:t>
      </w:r>
      <w:r>
        <w:rPr>
          <w:rFonts w:hint="default" w:ascii="Times New Roman" w:hAnsi="Times New Roman" w:eastAsia="仿宋" w:cs="Times New Roman"/>
          <w:sz w:val="32"/>
          <w:szCs w:val="32"/>
        </w:rPr>
        <w:t>学校评价体系，重点评价学校德技并修、产教融合、校企合作、育训结合、学生获取职业资格或职业技能等级证书、毕业生就业质量、“双师型”教师队伍建设等情况，邀请行业企业参与评价，引导培养高素质劳动者和技术技能人才。加大职业培训、服务供销系统和德阳的评价权重，将承担职业培训情况作为核定学校教师绩效工资总量的重要依据，逐步建立健全终身职业技能培训制度。</w:t>
      </w:r>
    </w:p>
    <w:p>
      <w:pPr>
        <w:keepNext w:val="0"/>
        <w:keepLines w:val="0"/>
        <w:pageBreakBefore w:val="0"/>
        <w:kinsoku/>
        <w:wordWrap/>
        <w:overflowPunct/>
        <w:topLinePunct w:val="0"/>
        <w:bidi w:val="0"/>
        <w:spacing w:beforeAutospacing="0" w:afterAutospacing="0" w:line="600" w:lineRule="exact"/>
        <w:ind w:firstLine="320" w:firstLineChars="100"/>
        <w:textAlignment w:val="auto"/>
        <w:rPr>
          <w:rFonts w:hint="default" w:ascii="Times New Roman" w:hAnsi="Times New Roman" w:eastAsia="仿宋" w:cs="Times New Roman"/>
          <w:sz w:val="32"/>
          <w:szCs w:val="32"/>
        </w:rPr>
      </w:pPr>
      <w:r>
        <w:rPr>
          <w:rFonts w:hint="default" w:ascii="Times New Roman" w:hAnsi="Times New Roman" w:eastAsia="楷体" w:cs="Times New Roman"/>
          <w:sz w:val="32"/>
          <w:szCs w:val="32"/>
          <w:lang w:eastAsia="zh-CN"/>
        </w:rPr>
        <w:t>（</w:t>
      </w:r>
      <w:r>
        <w:rPr>
          <w:rFonts w:hint="default" w:ascii="Times New Roman" w:hAnsi="Times New Roman" w:eastAsia="楷体" w:cs="Times New Roman"/>
          <w:sz w:val="32"/>
          <w:szCs w:val="32"/>
          <w:lang w:val="en-US" w:eastAsia="zh-CN"/>
        </w:rPr>
        <w:t>二</w:t>
      </w:r>
      <w:r>
        <w:rPr>
          <w:rFonts w:hint="default" w:ascii="Times New Roman" w:hAnsi="Times New Roman" w:eastAsia="楷体" w:cs="Times New Roman"/>
          <w:sz w:val="32"/>
          <w:szCs w:val="32"/>
          <w:lang w:eastAsia="zh-CN"/>
        </w:rPr>
        <w:t>）</w:t>
      </w:r>
      <w:r>
        <w:rPr>
          <w:rFonts w:hint="default" w:ascii="Times New Roman" w:hAnsi="Times New Roman" w:eastAsia="楷体" w:cs="Times New Roman"/>
          <w:sz w:val="32"/>
          <w:szCs w:val="32"/>
        </w:rPr>
        <w:t>改革学校评价指标，践行教书育人使命。</w:t>
      </w:r>
      <w:r>
        <w:rPr>
          <w:rFonts w:hint="default" w:ascii="Times New Roman" w:hAnsi="Times New Roman" w:eastAsia="仿宋" w:cs="Times New Roman"/>
          <w:sz w:val="32"/>
          <w:szCs w:val="32"/>
        </w:rPr>
        <w:t xml:space="preserve">改革教师评价，坚持把师德师风作为第一标准。把师德表现作为业绩考核、职称评聘、评优奖励首要要求，强化教师思想政治素质考察，推动师德师风建设常态化、长效化。突出教育教学实绩。把认真履行教育教学职责作为评价教师的基本要求，引导教师上好每一节课、关爱每一个学生。强化一线学生工作。逐步建立教师家访制度，将家校联系情况纳入教师考核。逐步完善学校党政管理干部选拔任用机制，原则上应有思政课教师、辅导员或班主任等学生工作经历。强化体育评价。建立日常参与、体质监测和专项运动技能测试相结合的考查机制，将达到国家学生体质健康标准要求作为教育教学考核的重要内容，引导学生养成良好锻炼习惯和健康生活方式，锤炼坚强意志，培养合作精神。改进美育评价。把学生学习音乐、美术、书法等艺术类课程以及参与学校组织的艺术实践活动情况纳入学业要求，促进学生形成艺术爱好、增强艺术素养，全面提升学生感受美、表现美、鉴赏美、创造美的能力。加强劳动教育评价。引导学生崇尚劳动、尊重劳动。探索建立劳动清单制度，明确学生参加劳动的具体内容和要求，让学生在实践中养成劳动习惯，学会劳动、学会勤俭。加强过程性评价，将参与劳动教育课程学习和实践情况纳入学生综合素质档案。 </w:t>
      </w:r>
    </w:p>
    <w:p>
      <w:pPr>
        <w:keepNext w:val="0"/>
        <w:keepLines w:val="0"/>
        <w:pageBreakBefore w:val="0"/>
        <w:widowControl w:val="0"/>
        <w:kinsoku/>
        <w:wordWrap/>
        <w:overflowPunct/>
        <w:topLinePunct w:val="0"/>
        <w:bidi w:val="0"/>
        <w:adjustRightInd/>
        <w:spacing w:beforeAutospacing="0" w:afterAutospacing="0" w:line="600" w:lineRule="exact"/>
        <w:ind w:left="0" w:leftChars="0" w:right="0" w:firstLine="640" w:firstLineChars="200"/>
        <w:textAlignment w:val="auto"/>
        <w:rPr>
          <w:rFonts w:hint="default" w:ascii="Times New Roman" w:hAnsi="Times New Roman" w:eastAsia="仿宋" w:cs="Times New Roman"/>
          <w:sz w:val="32"/>
          <w:szCs w:val="32"/>
        </w:rPr>
      </w:pPr>
      <w:r>
        <w:rPr>
          <w:rFonts w:hint="default" w:ascii="Times New Roman" w:hAnsi="Times New Roman" w:eastAsia="楷体" w:cs="Times New Roman"/>
          <w:sz w:val="32"/>
          <w:szCs w:val="32"/>
          <w:lang w:val="en-US" w:eastAsia="zh-CN"/>
        </w:rPr>
        <w:t>(三）</w:t>
      </w:r>
      <w:r>
        <w:rPr>
          <w:rFonts w:hint="default" w:ascii="Times New Roman" w:hAnsi="Times New Roman" w:eastAsia="楷体" w:cs="Times New Roman"/>
          <w:sz w:val="32"/>
          <w:szCs w:val="32"/>
        </w:rPr>
        <w:t>课堂革命我先行，久久为功育新人。</w:t>
      </w:r>
      <w:r>
        <w:rPr>
          <w:rFonts w:hint="default" w:ascii="Times New Roman" w:hAnsi="Times New Roman" w:eastAsia="仿宋" w:cs="Times New Roman"/>
          <w:sz w:val="32"/>
          <w:szCs w:val="32"/>
        </w:rPr>
        <w:t>党的十九届五中全会明确了“建设高质量教育体系”的政策导向和重点要求，职业教育事业迈向全新的发展时期，2021年学校推动课堂改革，</w:t>
      </w:r>
      <w:r>
        <w:rPr>
          <w:rFonts w:hint="default" w:ascii="Times New Roman" w:hAnsi="Times New Roman" w:eastAsia="仿宋" w:cs="Times New Roman"/>
          <w:sz w:val="32"/>
          <w:szCs w:val="32"/>
          <w:lang w:val="en-US" w:eastAsia="zh-CN"/>
        </w:rPr>
        <w:t>实行分类分层教学方法，组将高考升学班，用一系列举措撬动就业向升学的转变，</w:t>
      </w:r>
      <w:r>
        <w:rPr>
          <w:rFonts w:hint="default" w:ascii="Times New Roman" w:hAnsi="Times New Roman" w:eastAsia="仿宋" w:cs="Times New Roman"/>
          <w:sz w:val="32"/>
          <w:szCs w:val="32"/>
        </w:rPr>
        <w:t>全校师生砥砺奋进，破冰前行，努力在学校教育教学质量提升的新征程中创新业、立新功。</w:t>
      </w:r>
    </w:p>
    <w:p>
      <w:pPr>
        <w:spacing w:line="360" w:lineRule="auto"/>
        <w:ind w:firstLine="60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8</w:t>
      </w:r>
      <w:r>
        <w:rPr>
          <w:rFonts w:hint="default" w:ascii="Times New Roman" w:hAnsi="Times New Roman" w:eastAsia="黑体" w:cs="Times New Roman"/>
          <w:sz w:val="32"/>
          <w:szCs w:val="32"/>
        </w:rPr>
        <w:t>.特色创新</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8.1“一五四”准军事化自治管理德育工作法</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我校学生主要来源于偏远农村经济欠发达地区，其中来自凉山彝族地区的“9+3”学生占比达到45%。学生普遍存在不注重仪表、不诚实、不守信、不守纪等日常行为规范问题，并严重影响学校教学活动开展。为此，学校参照部队管理模式，由学生组建起预备队、标兵队、国旗护卫队、学生教官和学生辅导员5支自治化管理队伍，在教师的组织下，实施准军事化管理，探索出“一五四”德育工作法，对规范学生行为起到立杆见影的作用。</w:t>
      </w:r>
    </w:p>
    <w:p>
      <w:pPr>
        <w:pStyle w:val="5"/>
        <w:spacing w:beforeAutospacing="0" w:afterAutospacing="0" w:line="360" w:lineRule="auto"/>
        <w:ind w:firstLine="641"/>
        <w:jc w:val="both"/>
        <w:rPr>
          <w:rFonts w:hint="default" w:ascii="Times New Roman" w:hAnsi="Times New Roman" w:eastAsia="黑体" w:cs="Times New Roman"/>
          <w:sz w:val="32"/>
          <w:szCs w:val="32"/>
          <w:shd w:val="clear" w:color="auto" w:fill="FFFFFF"/>
          <w:lang w:val="en-US" w:eastAsia="zh-CN"/>
        </w:rPr>
      </w:pPr>
      <w:r>
        <w:rPr>
          <w:rFonts w:hint="default" w:ascii="Times New Roman" w:hAnsi="Times New Roman" w:eastAsia="黑体" w:cs="Times New Roman"/>
          <w:sz w:val="32"/>
          <w:szCs w:val="32"/>
          <w:shd w:val="clear" w:color="auto" w:fill="FFFFFF"/>
          <w:lang w:val="en-US" w:eastAsia="zh-CN"/>
        </w:rPr>
        <w:t>一、自治化管理队伍</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一平台五队伍四进阶（自治化管理队伍构成如上图所示），一平台指学生准军事化自治管理平台，“五队伍”指预备队、标兵队、国旗护卫队、学生教官队、学生辅导员队，“四进阶”指新生进行为期20天的军训，将日常行为规范教育作为军训主要组成部分，军训结束时，将部分优秀学员及后进学员组建成预备队，每个班级预备队成员占比约50%，利用课余时间集中进行3个月的准军事化训练，经考核合格者方可退出预备队，考核优秀者晋升为标兵队。国旗护卫队从标兵队员中进行三个月的训练，通过本学期最后一个月进行考核晋升，学生教官队主要以各项能力提升为主，军事技能为辅的考核晋升模式进行。学生辅导员队通过成为一名准班主任的培养目标进行考核。实行层层考核，层层晋级，以点带线，最终行成标兵队、国旗护卫队、学生教官队、学生辅导员队伍示范引领，从而影响整个学校的学生，最终达到学校培养学生自主管理的效果。</w:t>
      </w:r>
    </w:p>
    <w:p>
      <w:pPr>
        <w:pStyle w:val="5"/>
        <w:spacing w:beforeAutospacing="0" w:afterAutospacing="0" w:line="360" w:lineRule="auto"/>
        <w:ind w:firstLine="641"/>
        <w:jc w:val="both"/>
        <w:rPr>
          <w:rFonts w:hint="default" w:ascii="Times New Roman" w:hAnsi="Times New Roman" w:eastAsia="黑体" w:cs="Times New Roman"/>
          <w:sz w:val="32"/>
          <w:szCs w:val="32"/>
          <w:shd w:val="clear" w:color="auto" w:fill="FFFFFF"/>
          <w:lang w:val="en-US" w:eastAsia="zh-CN"/>
        </w:rPr>
      </w:pPr>
      <w:r>
        <w:rPr>
          <w:rFonts w:hint="default" w:ascii="Times New Roman" w:hAnsi="Times New Roman" w:eastAsia="黑体" w:cs="Times New Roman"/>
          <w:sz w:val="32"/>
          <w:szCs w:val="32"/>
          <w:shd w:val="clear" w:color="auto" w:fill="FFFFFF"/>
          <w:lang w:val="en-US" w:eastAsia="zh-CN"/>
        </w:rPr>
        <w:t>二、实施准军事化管理</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学校依据教育形势的发展要求和学校发展长远目标，坚持制定《四川省商贸学校准军事化学生自治管理队伍四进阶建设规划》，通过健全组织机制、培训机制、激励机制、保障机制等，为开展国防教育提供了有力的制度保证。</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（一）自治化队伍准军式化训练</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准军事化自治队伍至组建以来共计培养2174名队员，其中现在校队员509名。目前学生辅导员49人，主要协助21级新生班主任开展新生管理工作。学生教官101人，主要协助各年级教官完成课前集合，校园学生纠正等勤务。国旗护卫队157人，担任每周一国旗下演讲升旗仪式及每天上午、下午升降旗工作。标兵队队员202人，按照计划逐步推进各项训练工作。各队伍设立自主管理模式，在准军事化平台基础上设立纠察队，巡逻队，宣传队加强校园学生行为纠正及管理。备队：通过训练提高军事动作、思想、品德、达到合格的标兵队员；标兵队：训练队列进阶国旗护卫队；在班级起到引领先进的作用，是班主任的得力助手；国旗护卫队：负责每周一升旗仪式、每日升降旗；在学校起到标杆的作用；学生教官队：校园执勤巡逻、校园学生违纪纠察、协助老师两操三集合、周末留校点名工作、学生出校登记、大型活动协助老师管理；学生辅导员队：班级常规工作（协助班主任工作、公寓内务、学生违纪处理、两操三集合、晚自习管理、学生就寝纪律管理）。</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（二）学生行为规范自治化管理</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 xml:space="preserve">1.标兵队全体队员在教官的带领下每日进行军事动作训练，把国防教育向全体学生进行拓展活动延伸，定期在学校组织军事技能达标训练，校园拉练赛、军事技能竞技赛等多项以军事化题材的竞技赛事，在标兵队的积极影响下，同学们对国防知识兴趣浓厚、对国防建设更有认识。 </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2.国旗护卫队在每日早7:50，晚18:50开展升降国旗，每当升降国旗时全校同学无论生在何处都起立面向国旗方向行注目礼并高唱国歌，行成了学校一道靓丽的风景线；国旗护卫队在学校各项大型活动中都担任升旗仪式仪仗队，同时走出学校在德阳市各项活动中以及部分企事业单位活动中都担任升旗仪仗队，形成了学校一张独特的名片。全体学生在国旗护卫队的影响下积极报名加入准军事化自制队伍，在学生中树立了良好的形象，示范引领全体同学正确的价值观，对一些学生中形成的“饭圈文化”起到了很好的正面教育作用。</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3.学生教官队伍是我校学生管理的重要队伍，是学校五育并举学生评价体系以及班级考核细则的重要落实者，学生教官在此过程中积极配合德育管理老师开展各项基础考核，在此队伍中成立学生安全员配合保卫处进行门卫以及学校安全巡查，成立公寓协管员配合宿舍管理中心进行公寓内务管理，成立校园纠察中队进行校园文明纪律管理，成立校园环境治理员进行校园环境卫生管理，同时围绕两操三集合，开展学生国防教育，学校在每日的早操、课间操、每天早中晚三集合过程中加强学生行为习惯养成教育，每日一教官点评、每日一学生代表发言、每日三次呼号练习、每日一歌等多种形式提升学生的综合素养养成。真正意义上实现了学生自治。</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4.学生辅导员是五队伍中阶段最高、能力最强、作风素养最过硬的一支队伍，每年的8月通过集中训练以及严格选拔，学校发放正式聘书，该队伍在新生进校后就立即开展“老带新”“大手拉小手”活动，到班配合班主任开展学生各项入学教育，同时在军训中参与军训，担任各军训连的副连长，一直跟班进行管理，潜移默化的影响新生的各项纪律作风，通过各种形式让新生能够尽快的融入新的环境，起到了良好的示范引领作用，实现立德树人，自治立德。</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目前学校正努力构建管理平台，使国防教育扎实有序；营造校园文化氛围，使国防教育无处不在；注重课程特色渗透，使国防教育随时进行；开展课外主题活动，使国防教育在学生心中放飞理想，使学生快乐、健康成长。</w:t>
      </w:r>
    </w:p>
    <w:p>
      <w:pPr>
        <w:pStyle w:val="5"/>
        <w:spacing w:beforeAutospacing="0" w:afterAutospacing="0" w:line="360" w:lineRule="auto"/>
        <w:ind w:firstLine="641"/>
        <w:jc w:val="both"/>
        <w:rPr>
          <w:rFonts w:hint="default" w:ascii="Times New Roman" w:hAnsi="Times New Roman" w:eastAsia="黑体" w:cs="Times New Roman"/>
          <w:sz w:val="32"/>
          <w:szCs w:val="32"/>
          <w:shd w:val="clear" w:color="auto" w:fill="FFFFFF"/>
          <w:lang w:val="en-US" w:eastAsia="zh-CN"/>
        </w:rPr>
      </w:pPr>
      <w:r>
        <w:rPr>
          <w:rFonts w:hint="default" w:ascii="Times New Roman" w:hAnsi="Times New Roman" w:eastAsia="黑体" w:cs="Times New Roman"/>
          <w:sz w:val="32"/>
          <w:szCs w:val="32"/>
          <w:shd w:val="clear" w:color="auto" w:fill="FFFFFF"/>
          <w:lang w:val="en-US" w:eastAsia="zh-CN"/>
        </w:rPr>
        <w:t>二、成效</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我校实施准军事化自治管理后，杜绝了学生群体性纠纷，连续5年未发生学生群体性事件，学生之间摩擦极少发生，每年仅有一至两起个人矛盾纠纷，仪容仪表达到要求，全校学生男生无长发、染发、无佩戴耳环耳钉等饰物，女生无烫发、染发，无浓妆，彻底解决早操、上课迟到和未到情况，校风、学风明显好转。学校被评为“四川省文明校园”，连续5年被辖区派出所评为平安校园。</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 xml:space="preserve">部分准军事化队员参军、升学情况如下：  </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16旅游管理01班曲目科黑（9+3）2018年9月（参军第一年荣获优秀士兵称号）</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16航升06班杨泽荣2019年3月（新疆陆军某部服役）</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16航升04班付海兵2019年3月（服役期间荣获优秀士兵称号）</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17会计01班阿支伍机（9+3）2019年9月（北京某特种部队服役）</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17会计03班苏涛2018年9月参军并于2020年9月退伍回到学校继续学习，同时把部队的优良作风带进了我们学校的准军事化队伍里，2021年6月成功考上自己理想的大学。</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17会计01班许国平2019年9月（江苏某部队服役）</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阿支伍机、苏涛、许国平在校内参加训练时图片</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18社会文化艺术02班吉以拉布（9+3）2020年3月（安徽陆军某部服役，参军第一年荣获团嘉奖称号）</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18会计02班马取惹（9+3) 2020年3月（江苏徐州某部队参军，刚进部队荣获新兵训练标兵称号）</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18航升02班伏秋云2020年3月（西藏陆军某部服役参军第一年荣获优秀士兵称号）</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 xml:space="preserve">19汽修03班杨红（9+3）2020年3月（西藏总队某部服役）      </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19电商01班覃东阳（9+3）2021年9月（山东空军某部服役）</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lang w:val="en-US" w:eastAsia="zh-CN"/>
        </w:rPr>
      </w:pPr>
      <w:r>
        <w:rPr>
          <w:rFonts w:hint="default" w:ascii="Times New Roman" w:hAnsi="Times New Roman" w:eastAsia="仿宋_GB2312" w:cs="Times New Roman"/>
          <w:sz w:val="32"/>
          <w:szCs w:val="32"/>
          <w:shd w:val="clear" w:color="auto" w:fill="FFFFFF"/>
          <w:lang w:val="en-US" w:eastAsia="zh-CN"/>
        </w:rPr>
        <w:t>2021年升学率相比往年有显著提升达到94.8%，其中自治化队伍中毕业学生：16级98人，17级121人，18级132人。他们都如愿的考上了理想的大学，17会计02班阿吉有博在校期间担任国旗护卫队队长，通过努力考入四川财经职业学院，在2021年将阿吉有博的妹妹阿吉成花也成为一名我校新生，并且在哥哥的影响下加入了学生军事化自治队伍，红旗效应代代相传。</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sz w:val="32"/>
          <w:szCs w:val="32"/>
          <w:shd w:val="clear" w:color="auto" w:fill="FFFFFF"/>
          <w:lang w:val="en-US" w:eastAsia="zh-CN"/>
        </w:rPr>
        <w:t>8.2</w:t>
      </w:r>
      <w:r>
        <w:rPr>
          <w:rFonts w:hint="default" w:ascii="Times New Roman" w:hAnsi="Times New Roman" w:eastAsia="仿宋_GB2312" w:cs="Times New Roman"/>
          <w:sz w:val="32"/>
          <w:szCs w:val="32"/>
          <w:shd w:val="clear" w:color="auto" w:fill="FFFFFF"/>
        </w:rPr>
        <w:t>校企携手同行 共建数字校园</w:t>
      </w:r>
    </w:p>
    <w:p>
      <w:pPr>
        <w:pStyle w:val="5"/>
        <w:spacing w:beforeAutospacing="0" w:afterAutospacing="0" w:line="360" w:lineRule="auto"/>
        <w:ind w:firstLine="641"/>
        <w:jc w:val="both"/>
        <w:rPr>
          <w:rFonts w:hint="default" w:ascii="Times New Roman" w:hAnsi="Times New Roman" w:eastAsia="黑体" w:cs="Times New Roman"/>
          <w:sz w:val="32"/>
          <w:szCs w:val="32"/>
          <w:shd w:val="clear" w:color="auto" w:fill="FFFFFF"/>
        </w:rPr>
      </w:pPr>
      <w:r>
        <w:rPr>
          <w:rFonts w:hint="default" w:ascii="Times New Roman" w:hAnsi="Times New Roman" w:eastAsia="黑体" w:cs="Times New Roman"/>
          <w:sz w:val="32"/>
          <w:szCs w:val="32"/>
          <w:shd w:val="clear" w:color="auto" w:fill="FFFFFF"/>
        </w:rPr>
        <w:t>一、实施背景</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sz w:val="32"/>
          <w:szCs w:val="32"/>
          <w:shd w:val="clear" w:color="auto" w:fill="FFFFFF"/>
        </w:rPr>
        <w:t>全面推进数字化校园建设是我校建设重点任务。在建设过程中，学校面临技术力量薄弱，建设资金短缺等困局。怎样化解难题，迎难而上，我们把思路放在了校企合作。学校先后与中国电信股份有限公司德阳分公司、中国工商银行等多家国家大型公司开展校企合作，有针对性地解决信息化建设中的难题。</w:t>
      </w:r>
    </w:p>
    <w:p>
      <w:pPr>
        <w:pStyle w:val="5"/>
        <w:spacing w:beforeAutospacing="0" w:afterAutospacing="0" w:line="360" w:lineRule="auto"/>
        <w:ind w:firstLine="641"/>
        <w:jc w:val="both"/>
        <w:rPr>
          <w:rFonts w:hint="default" w:ascii="Times New Roman" w:hAnsi="Times New Roman" w:eastAsia="黑体" w:cs="Times New Roman"/>
          <w:sz w:val="32"/>
          <w:szCs w:val="32"/>
          <w:shd w:val="clear" w:color="auto" w:fill="FFFFFF"/>
        </w:rPr>
      </w:pPr>
      <w:r>
        <w:rPr>
          <w:rFonts w:hint="default" w:ascii="Times New Roman" w:hAnsi="Times New Roman" w:eastAsia="黑体" w:cs="Times New Roman"/>
          <w:sz w:val="32"/>
          <w:szCs w:val="32"/>
          <w:shd w:val="clear" w:color="auto" w:fill="FFFFFF"/>
        </w:rPr>
        <w:t>二、工作目标</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sz w:val="32"/>
          <w:szCs w:val="32"/>
          <w:shd w:val="clear" w:color="auto" w:fill="FFFFFF"/>
        </w:rPr>
        <w:t>通过校企深度合作，解决信息化建设技术难题，化解项目建设资金短缺困局，紧跟时代步伐，顺应时代发展，高质量建设数字校园，着力为师生打造高速、安全、便捷的学习、生活环境，拓宽产教融合、校企合作有效路径，探索在信息化建设领域的深度合作，真正实现共建、双赢。</w:t>
      </w:r>
    </w:p>
    <w:p>
      <w:pPr>
        <w:pStyle w:val="5"/>
        <w:spacing w:beforeAutospacing="0" w:afterAutospacing="0" w:line="360" w:lineRule="auto"/>
        <w:ind w:firstLine="641"/>
        <w:jc w:val="both"/>
        <w:rPr>
          <w:rFonts w:hint="default" w:ascii="Times New Roman" w:hAnsi="Times New Roman" w:eastAsia="黑体" w:cs="Times New Roman"/>
          <w:b w:val="0"/>
          <w:bCs w:val="0"/>
          <w:sz w:val="32"/>
          <w:szCs w:val="32"/>
          <w:shd w:val="clear" w:color="auto" w:fill="FFFFFF"/>
        </w:rPr>
      </w:pPr>
      <w:r>
        <w:rPr>
          <w:rFonts w:hint="default" w:ascii="Times New Roman" w:hAnsi="Times New Roman" w:eastAsia="黑体" w:cs="Times New Roman"/>
          <w:b w:val="0"/>
          <w:bCs w:val="0"/>
          <w:sz w:val="32"/>
          <w:szCs w:val="32"/>
          <w:shd w:val="clear" w:color="auto" w:fill="FFFFFF"/>
        </w:rPr>
        <w:t>三、工作过程</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sz w:val="32"/>
          <w:szCs w:val="32"/>
          <w:shd w:val="clear" w:color="auto" w:fill="FFFFFF"/>
        </w:rPr>
        <w:t>1.建立常态化合作机制。学校信息化建设领导小组指派专人，组建信息化建设校企合作工作组，开展校企合作企业遴选，参与调研，提出合作预案。</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sz w:val="32"/>
          <w:szCs w:val="32"/>
          <w:shd w:val="clear" w:color="auto" w:fill="FFFFFF"/>
        </w:rPr>
        <w:t>2.建设项目需求调研。建设小组认真评估数字校园建设现有基础、已建成果、尚需完善的功能等，面对新冠肺炎疫情防控形势十分严峻的局面，如何通过信息化技术提高防疫效果，有效保障师生生命健康安全？在严把疫情防控校门关时，如何快捷高效实施进出人员、进出车辆的有效管控？在已建成高速稳定的网络环境条件下，如何进一步为师生打造便捷的生活环境？由信息化建设小组和财务处相关人员组成的小组积极开展工作，根据需求调研，提出建设智能温控人脸识别系统、车辆管理系统、移动直播平台和人脸识别支付系统，并将上述系统接入学校智慧校园平台，丰富平台数据，实现信息化管理水平的提升，为防疫抗疫提供强大的技术支撑。</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sz w:val="32"/>
          <w:szCs w:val="32"/>
          <w:shd w:val="clear" w:color="auto" w:fill="FFFFFF"/>
        </w:rPr>
        <w:t>3.积极对接企业，搭建合作联系。专人小组分别寻找合作企业，建立合作关系，提出合作设想，实现共建共赢。我校现有师生员工近4000人，无论是移动支付需求还是网络带宽需求都有一定的需求市场。通过多次接触、调研，选定中国电信股份有限公司德阳分公司、中国工商银行等国有大型企业进行合作，为学校提供技术支持和资金支持。根据双方需求和达成的初步合作意愿，中国电信股份有限公司德阳分公司、中国工商银行同意分别在各自领域提供专业技术服务，协助学校建设智能温控人脸识别系统、车辆管理系统、移动网络直播系统和人脸识别支付系统。</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sz w:val="32"/>
          <w:szCs w:val="32"/>
          <w:shd w:val="clear" w:color="auto" w:fill="FFFFFF"/>
        </w:rPr>
        <w:t>4.双方共同制定建设方案。合作意愿敲定，双方立即进入状态，积极开展工作。经过多次协调、沟通、调研、论证，共同制定了项目建设实施方案并指派专人负责实施。</w:t>
      </w:r>
    </w:p>
    <w:p>
      <w:pPr>
        <w:pStyle w:val="5"/>
        <w:spacing w:beforeAutospacing="0" w:afterAutospacing="0" w:line="360" w:lineRule="auto"/>
        <w:ind w:firstLine="641"/>
        <w:jc w:val="both"/>
        <w:rPr>
          <w:rFonts w:hint="default" w:ascii="Times New Roman" w:hAnsi="Times New Roman" w:eastAsia="黑体" w:cs="Times New Roman"/>
          <w:sz w:val="32"/>
          <w:szCs w:val="32"/>
          <w:shd w:val="clear" w:color="auto" w:fill="FFFFFF"/>
        </w:rPr>
      </w:pPr>
      <w:r>
        <w:rPr>
          <w:rFonts w:hint="default" w:ascii="Times New Roman" w:hAnsi="Times New Roman" w:eastAsia="黑体" w:cs="Times New Roman"/>
          <w:sz w:val="32"/>
          <w:szCs w:val="32"/>
          <w:shd w:val="clear" w:color="auto" w:fill="FFFFFF"/>
          <w:lang w:val="en-US" w:eastAsia="zh-CN"/>
        </w:rPr>
        <w:t>四</w:t>
      </w:r>
      <w:r>
        <w:rPr>
          <w:rFonts w:hint="default" w:ascii="Times New Roman" w:hAnsi="Times New Roman" w:eastAsia="黑体" w:cs="Times New Roman"/>
          <w:sz w:val="32"/>
          <w:szCs w:val="32"/>
          <w:shd w:val="clear" w:color="auto" w:fill="FFFFFF"/>
        </w:rPr>
        <w:t>、成果成效</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sz w:val="32"/>
          <w:szCs w:val="32"/>
          <w:shd w:val="clear" w:color="auto" w:fill="FFFFFF"/>
        </w:rPr>
        <w:t>1.信息化建设小组不囿于任务清单，积极开拓进取，在信息化建设领域与中国电信股份有限公司德阳分公司等企业合作，建成人脸识别智能测温门禁系统、车辆管理系统，为疫情防控、学校管理工作的信息化增添了高效的技术手段。系统全面对接学校智慧校园（信息化）平台数据，实现疫情防控、学生管理、安全管理、车辆管理高度信息化。智能测温门禁系统四进五出，自动测温，自动报警，无关校外人员再无法进入校园，为确保校园安全、构建红心向党和美校园提供了高效的技术保障和管理手段。学校依托示范校建成的云机房为德阳市财政局提供会计初、中级专业技术职称考试，校外近万名考生通过人脸识别智能测温门禁系统检测体温，实现疫情防控测温工作智能化，极大地减轻了保安人员的工作强度，提升了疫情防控有效性，提升了学校疫情防控能力和水平，促进了学校整体管理能力的提升，受到参考考生、财政局领导的高度认可，在社会上引起了极大的反响，社会效益巨大。</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sz w:val="32"/>
          <w:szCs w:val="32"/>
          <w:shd w:val="clear" w:color="auto" w:fill="FFFFFF"/>
        </w:rPr>
        <w:t>2.信息化建设小组积极对接学校财务管理专业人员，协助中国工商银行德阳市支行参与校企共建人脸识别支付系统。改铺光纤，开放服务器，对接数据，提供稳定可靠的接入网络，与企业一道高质量建成人脸支付系统。师生洗浴、就餐等均可实现人脸识别自动支付，极大地方便了师生的校园生活，体验了信息技术带来的便捷服务，实现了数字校园方便高效、快捷安全的建设目标。</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sz w:val="32"/>
          <w:szCs w:val="32"/>
          <w:shd w:val="clear" w:color="auto" w:fill="FFFFFF"/>
        </w:rPr>
        <w:t>3.建成移动网络直播平台。平台可同时在微信公众号、抖音、快手、B站等平台同步直播，为展示学校教育教学成果、丰富师生业余文化生活、记录师生成长、发展经历以及社会服务提供了可靠的载体和平台。尤其在新冠肺炎疫情防控期间，直播平台的建成对于防疫抗疫、减少聚集、消除风险提供了强大技术支撑。</w:t>
      </w:r>
    </w:p>
    <w:p>
      <w:pPr>
        <w:pStyle w:val="5"/>
        <w:spacing w:beforeAutospacing="0" w:afterAutospacing="0" w:line="360" w:lineRule="auto"/>
        <w:ind w:firstLine="641"/>
        <w:jc w:val="both"/>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sz w:val="32"/>
          <w:szCs w:val="32"/>
          <w:shd w:val="clear" w:color="auto" w:fill="FFFFFF"/>
        </w:rPr>
        <w:t>4.学校全面推进数字化校园建设，经过示范校三年建设，建成了骨干万兆、桌面千兆的高速稳定的网络，逐步开发建成四川省商贸学校智慧校园平台（含OA办公、教务管理、学工管理等14个子系统），并与企业合作建成人脸识别智能测温门禁系统、车辆管理系统、人脸识别支付系统和移动直播平台，基本实现了数字化校园建设预期目标。中国电信股份有限公司德阳分公司、中国工商银行等国有大型企业在中国数字经济转型发展期主动参与职业教育信息化建设，彰显了企业主动承担社会责任的担当精神。</w:t>
      </w:r>
    </w:p>
    <w:p>
      <w:pPr>
        <w:spacing w:line="360" w:lineRule="auto"/>
        <w:ind w:firstLine="60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9</w:t>
      </w:r>
      <w:r>
        <w:rPr>
          <w:rFonts w:hint="default" w:ascii="Times New Roman" w:hAnsi="Times New Roman" w:eastAsia="黑体" w:cs="Times New Roman"/>
          <w:sz w:val="32"/>
          <w:szCs w:val="32"/>
        </w:rPr>
        <w:t>.面临挑战和改进措施</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针对人才培养中存在的问题，分析主要原因，提出解决问题的具体措施。</w:t>
      </w:r>
    </w:p>
    <w:p>
      <w:pPr>
        <w:spacing w:line="360" w:lineRule="auto"/>
        <w:ind w:firstLine="6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一、凝心聚力 破解招生难题</w:t>
      </w:r>
    </w:p>
    <w:p>
      <w:pPr>
        <w:spacing w:line="360" w:lineRule="auto"/>
        <w:ind w:firstLine="6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省属学校，招生困难是目前比较突出的通病。</w:t>
      </w:r>
      <w:r>
        <w:rPr>
          <w:rFonts w:hint="default" w:ascii="Times New Roman" w:hAnsi="Times New Roman" w:eastAsia="仿宋_GB2312" w:cs="Times New Roman"/>
          <w:sz w:val="32"/>
          <w:szCs w:val="32"/>
        </w:rPr>
        <w:t>招生工作要找出一条与学校发展匹配的招生新模式。努力构建多元化的招生网络，充分利用新媒体、学校品牌、师生资源，优化生源结构，拓展德阳本地生源，稳定招生规模。积极招收高中毕业未升学学生，退役军人，下岗职工，返乡农民工。积极探索</w:t>
      </w:r>
      <w:r>
        <w:rPr>
          <w:rFonts w:hint="default" w:ascii="Times New Roman" w:hAnsi="Times New Roman" w:eastAsia="仿宋_GB2312" w:cs="Times New Roman"/>
          <w:sz w:val="32"/>
          <w:szCs w:val="32"/>
          <w:lang w:val="en-US" w:eastAsia="zh-CN"/>
        </w:rPr>
        <w:t>在</w:t>
      </w:r>
      <w:r>
        <w:rPr>
          <w:rFonts w:hint="default" w:ascii="Times New Roman" w:hAnsi="Times New Roman" w:eastAsia="仿宋_GB2312" w:cs="Times New Roman"/>
          <w:sz w:val="32"/>
          <w:szCs w:val="32"/>
        </w:rPr>
        <w:t>2021年招生新模式</w:t>
      </w:r>
      <w:r>
        <w:rPr>
          <w:rFonts w:hint="default" w:ascii="Times New Roman" w:hAnsi="Times New Roman" w:eastAsia="仿宋_GB2312" w:cs="Times New Roman"/>
          <w:sz w:val="32"/>
          <w:szCs w:val="32"/>
          <w:lang w:val="en-US" w:eastAsia="zh-CN"/>
        </w:rPr>
        <w:t>上更加巩固和扩大招生规模</w:t>
      </w:r>
      <w:r>
        <w:rPr>
          <w:rFonts w:hint="default" w:ascii="Times New Roman" w:hAnsi="Times New Roman" w:eastAsia="仿宋_GB2312" w:cs="Times New Roman"/>
          <w:sz w:val="32"/>
          <w:szCs w:val="32"/>
        </w:rPr>
        <w:t>。</w:t>
      </w:r>
    </w:p>
    <w:p>
      <w:pPr>
        <w:numPr>
          <w:ilvl w:val="0"/>
          <w:numId w:val="1"/>
        </w:numPr>
        <w:spacing w:line="360" w:lineRule="auto"/>
        <w:ind w:firstLine="640" w:firstLineChars="200"/>
        <w:jc w:val="lef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资金短缺 开源截流多点创收</w:t>
      </w:r>
    </w:p>
    <w:p>
      <w:pPr>
        <w:numPr>
          <w:numId w:val="0"/>
        </w:numPr>
        <w:spacing w:line="360" w:lineRule="auto"/>
        <w:ind w:firstLine="640"/>
        <w:jc w:val="lef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目前，学校在发展中的债务已经累计到一个较高的位置，国家级项目中修建的电子商务孵化园因多种原因，导致自筹资金凑集困难，学校东侧、南侧、北侧部分的围墙是2006年的建筑临时围墙，因为常年雨水较多长时间浸泡，加之今年汛期雨水特别多导致围墙有倾斜的情况容易发生倒塌，存在很大的安全隐患，而新建资金学校难以负担。教学楼顶的加固和防水处理费用高昂，一直只能维持修补状态。</w:t>
      </w:r>
    </w:p>
    <w:p>
      <w:pPr>
        <w:numPr>
          <w:numId w:val="0"/>
        </w:numPr>
        <w:spacing w:line="360" w:lineRule="auto"/>
        <w:ind w:firstLine="640"/>
        <w:jc w:val="lef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学校党委和行政主动协调省发改委，财政厅，在省社领导大力帮助下，协调省发改委资金475万元，用于偿还四川发展集团，学校挤出资金20万元，偿还旌阳区国土局土地款。通过2笔借款的主动偿还，进一步展示了学校的正面形象。2021年学校通过减员增效，开源节流，累计节省资金386.79万元。2022年，学校将更加注重资金规范使用，争取每一分钱用在实处、发挥作用。</w:t>
      </w:r>
    </w:p>
    <w:p>
      <w:pPr>
        <w:spacing w:line="360" w:lineRule="auto"/>
        <w:ind w:firstLine="442" w:firstLineChars="200"/>
        <w:jc w:val="center"/>
        <w:rPr>
          <w:rFonts w:hint="default" w:ascii="Times New Roman" w:hAnsi="Times New Roman" w:cs="Times New Roman"/>
          <w:b/>
          <w:bCs/>
          <w:sz w:val="22"/>
        </w:rPr>
      </w:pPr>
    </w:p>
    <w:p>
      <w:pPr>
        <w:spacing w:line="360" w:lineRule="auto"/>
        <w:ind w:firstLine="442" w:firstLineChars="200"/>
        <w:jc w:val="center"/>
        <w:rPr>
          <w:rFonts w:hint="default" w:ascii="Times New Roman" w:hAnsi="Times New Roman" w:cs="Times New Roman"/>
          <w:b/>
          <w:bCs/>
          <w:sz w:val="22"/>
        </w:rPr>
      </w:pPr>
      <w:r>
        <w:rPr>
          <w:rFonts w:hint="default" w:ascii="Times New Roman" w:hAnsi="Times New Roman" w:cs="Times New Roman"/>
          <w:b/>
          <w:bCs/>
          <w:sz w:val="22"/>
        </w:rPr>
        <w:t xml:space="preserve">  中等职业教育质量数据表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3303"/>
        <w:gridCol w:w="1098"/>
        <w:gridCol w:w="1643"/>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序号</w:t>
            </w:r>
          </w:p>
        </w:tc>
        <w:tc>
          <w:tcPr>
            <w:tcW w:w="3600"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指标</w:t>
            </w:r>
          </w:p>
        </w:tc>
        <w:tc>
          <w:tcPr>
            <w:tcW w:w="1146"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单位</w:t>
            </w:r>
          </w:p>
        </w:tc>
        <w:tc>
          <w:tcPr>
            <w:tcW w:w="1712"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2020年</w:t>
            </w:r>
          </w:p>
        </w:tc>
        <w:tc>
          <w:tcPr>
            <w:tcW w:w="158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2021年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1</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思想政治课专任教师数</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人</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4</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2</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德育管理人员数</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人</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19</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restart"/>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3</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名班主任工作室数</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个</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tcPr>
          <w:p>
            <w:pPr>
              <w:spacing w:line="360" w:lineRule="auto"/>
              <w:jc w:val="center"/>
              <w:rPr>
                <w:rFonts w:hint="default" w:ascii="Times New Roman" w:hAnsi="Times New Roman" w:cs="Times New Roman"/>
                <w:b/>
                <w:bCs/>
                <w:szCs w:val="21"/>
              </w:rPr>
            </w:pP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 xml:space="preserve">      其中：国家级</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个</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tcPr>
          <w:p>
            <w:pPr>
              <w:spacing w:line="360" w:lineRule="auto"/>
              <w:jc w:val="center"/>
              <w:rPr>
                <w:rFonts w:hint="default" w:ascii="Times New Roman" w:hAnsi="Times New Roman" w:cs="Times New Roman"/>
                <w:b/>
                <w:bCs/>
                <w:szCs w:val="21"/>
              </w:rPr>
            </w:pP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 xml:space="preserve">            省级</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个</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tcPr>
          <w:p>
            <w:pPr>
              <w:spacing w:line="360" w:lineRule="auto"/>
              <w:jc w:val="center"/>
              <w:rPr>
                <w:rFonts w:hint="default" w:ascii="Times New Roman" w:hAnsi="Times New Roman" w:cs="Times New Roman"/>
                <w:b/>
                <w:bCs/>
                <w:szCs w:val="21"/>
              </w:rPr>
            </w:pP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 xml:space="preserve">            地市级</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个</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restart"/>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4</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思想政治课教学创新团队</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个</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1</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tcPr>
          <w:p>
            <w:pPr>
              <w:spacing w:line="360" w:lineRule="auto"/>
              <w:jc w:val="center"/>
              <w:rPr>
                <w:rFonts w:hint="default" w:ascii="Times New Roman" w:hAnsi="Times New Roman" w:cs="Times New Roman"/>
                <w:b/>
                <w:bCs/>
                <w:szCs w:val="21"/>
              </w:rPr>
            </w:pP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 xml:space="preserve">      其中：国家级</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个</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tcPr>
          <w:p>
            <w:pPr>
              <w:spacing w:line="360" w:lineRule="auto"/>
              <w:jc w:val="center"/>
              <w:rPr>
                <w:rFonts w:hint="default" w:ascii="Times New Roman" w:hAnsi="Times New Roman" w:cs="Times New Roman"/>
                <w:b/>
                <w:bCs/>
                <w:szCs w:val="21"/>
              </w:rPr>
            </w:pP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 xml:space="preserve">            省级</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个</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tcPr>
          <w:p>
            <w:pPr>
              <w:spacing w:line="360" w:lineRule="auto"/>
              <w:jc w:val="center"/>
              <w:rPr>
                <w:rFonts w:hint="default" w:ascii="Times New Roman" w:hAnsi="Times New Roman" w:cs="Times New Roman"/>
                <w:b/>
                <w:bCs/>
                <w:szCs w:val="21"/>
              </w:rPr>
            </w:pP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 xml:space="preserve">            地市级</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个</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restart"/>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5</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思想政治课示范课堂数</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个</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1</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tcPr>
          <w:p>
            <w:pPr>
              <w:spacing w:line="360" w:lineRule="auto"/>
              <w:jc w:val="center"/>
              <w:rPr>
                <w:rFonts w:hint="default" w:ascii="Times New Roman" w:hAnsi="Times New Roman" w:cs="Times New Roman"/>
                <w:b/>
                <w:bCs/>
                <w:szCs w:val="21"/>
              </w:rPr>
            </w:pP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 xml:space="preserve">      其中：国家级</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个</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tcPr>
          <w:p>
            <w:pPr>
              <w:spacing w:line="360" w:lineRule="auto"/>
              <w:jc w:val="center"/>
              <w:rPr>
                <w:rFonts w:hint="default" w:ascii="Times New Roman" w:hAnsi="Times New Roman" w:cs="Times New Roman"/>
                <w:b/>
                <w:bCs/>
                <w:szCs w:val="21"/>
              </w:rPr>
            </w:pP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 xml:space="preserve">            省级</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个</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6</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就业单位对毕业生职业素养的满意度</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96</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7</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就业单位对毕业生职业技能的满意度</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94</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8</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体育课专任教师数</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人</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3</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9</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美育课专任教师数</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人</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5</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10</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学生文化基础课合格率</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79.16</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66.45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11</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学生体质测评合格率</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78.48</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86.39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12</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毕业生总数</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人</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631</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13</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就业（含升学）人数</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人</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581</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14</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在规模以上企业就业人数</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人</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28</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15</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在中小微企业就业人数</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人</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45</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16</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毕业生专业对口就业率</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人</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92.26</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91.86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17</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通过职教高考升学人数</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人</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48</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18</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通过对口单招升学人数</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人</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291</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19</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通过中本贯通升学人数</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人</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20</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通过中高贯通升学人数</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人</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108</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21</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通过技能拔尖人才免试升学人数</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人</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22</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升入本科院校人数</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人</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23</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升入高职高专院校人数</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人</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kern w:val="2"/>
                <w:sz w:val="24"/>
                <w:szCs w:val="24"/>
                <w:u w:val="none"/>
                <w:lang w:val="en-US" w:eastAsia="zh-CN" w:bidi="ar-SA"/>
              </w:rPr>
              <w:t>447</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kern w:val="2"/>
                <w:sz w:val="24"/>
                <w:szCs w:val="24"/>
                <w:u w:val="none"/>
                <w:lang w:val="en-US" w:eastAsia="zh-CN" w:bidi="ar-SA"/>
              </w:rPr>
              <w:t>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24</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其他升学人数（含留学、成人教育、自学考试）</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人</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61</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25</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全国职业院校技能大赛学生获奖数</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个</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26</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全国职业技能大赛学生获奖数</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个</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0</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27</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职业技能等级证书（含职业资格证书）获取人数</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人</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143</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28</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全日制在校生数</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人</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kern w:val="2"/>
                <w:sz w:val="24"/>
                <w:szCs w:val="24"/>
                <w:u w:val="none"/>
                <w:lang w:val="en-US" w:eastAsia="zh-CN" w:bidi="ar-SA"/>
              </w:rPr>
              <w:t>2055</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kern w:val="2"/>
                <w:sz w:val="24"/>
                <w:szCs w:val="24"/>
                <w:u w:val="none"/>
                <w:lang w:val="en-US" w:eastAsia="zh-CN" w:bidi="ar-SA"/>
              </w:rPr>
              <w:t>2150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29</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生均校园占地面积</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平方米</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80.13</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76.59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30</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生均校舍建筑面积</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平方米</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41.44</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31</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生均教学仪器设备值</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元</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7967.17</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8487.32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32</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年生均财政拨款</w:t>
            </w:r>
          </w:p>
        </w:tc>
        <w:tc>
          <w:tcPr>
            <w:tcW w:w="1146" w:type="dxa"/>
          </w:tcPr>
          <w:p>
            <w:pPr>
              <w:spacing w:line="360" w:lineRule="auto"/>
              <w:jc w:val="center"/>
              <w:rPr>
                <w:rFonts w:hint="default" w:ascii="Times New Roman" w:hAnsi="Times New Roman" w:cs="Times New Roman"/>
                <w:szCs w:val="21"/>
              </w:rPr>
            </w:pPr>
            <w:r>
              <w:rPr>
                <w:rFonts w:hint="default" w:ascii="Times New Roman" w:hAnsi="Times New Roman" w:cs="Times New Roman"/>
                <w:szCs w:val="21"/>
              </w:rPr>
              <w:t>元</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26376.54</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szCs w:val="21"/>
              </w:rPr>
            </w:pPr>
            <w:r>
              <w:rPr>
                <w:rFonts w:hint="default" w:ascii="Times New Roman" w:hAnsi="Times New Roman" w:eastAsia="仿宋_GB2312" w:cs="Times New Roman"/>
                <w:i w:val="0"/>
                <w:iCs w:val="0"/>
                <w:color w:val="auto"/>
                <w:sz w:val="24"/>
                <w:szCs w:val="24"/>
                <w:u w:val="none"/>
                <w:lang w:val="en-US" w:eastAsia="zh-CN"/>
              </w:rPr>
              <w:t>17156.42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33</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纸质图书数</w:t>
            </w:r>
          </w:p>
        </w:tc>
        <w:tc>
          <w:tcPr>
            <w:tcW w:w="1146"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册</w:t>
            </w:r>
          </w:p>
        </w:tc>
        <w:tc>
          <w:tcPr>
            <w:tcW w:w="1712" w:type="dxa"/>
            <w:vAlign w:val="center"/>
          </w:tcPr>
          <w:p>
            <w:pPr>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color w:val="auto"/>
                <w:sz w:val="24"/>
                <w:szCs w:val="24"/>
              </w:rPr>
              <w:t>152780</w:t>
            </w:r>
          </w:p>
        </w:tc>
        <w:tc>
          <w:tcPr>
            <w:tcW w:w="1581" w:type="dxa"/>
            <w:vAlign w:val="center"/>
          </w:tcPr>
          <w:p>
            <w:pPr>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color w:val="auto"/>
                <w:sz w:val="24"/>
                <w:szCs w:val="24"/>
              </w:rPr>
              <w:t>153612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34</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电子图书数</w:t>
            </w:r>
          </w:p>
        </w:tc>
        <w:tc>
          <w:tcPr>
            <w:tcW w:w="1146"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册</w:t>
            </w:r>
          </w:p>
        </w:tc>
        <w:tc>
          <w:tcPr>
            <w:tcW w:w="1712" w:type="dxa"/>
            <w:vAlign w:val="center"/>
          </w:tcPr>
          <w:p>
            <w:pPr>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color w:val="auto"/>
                <w:sz w:val="24"/>
                <w:szCs w:val="24"/>
              </w:rPr>
              <w:t>51239</w:t>
            </w:r>
          </w:p>
        </w:tc>
        <w:tc>
          <w:tcPr>
            <w:tcW w:w="1581" w:type="dxa"/>
            <w:vAlign w:val="center"/>
          </w:tcPr>
          <w:p>
            <w:pPr>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color w:val="auto"/>
                <w:sz w:val="24"/>
                <w:szCs w:val="24"/>
              </w:rPr>
              <w:t>51239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35</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校园网主干最大宽带</w:t>
            </w:r>
          </w:p>
        </w:tc>
        <w:tc>
          <w:tcPr>
            <w:tcW w:w="1146"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Mbps</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sz w:val="24"/>
                <w:szCs w:val="24"/>
                <w:u w:val="none"/>
                <w:lang w:val="en-US" w:eastAsia="zh-CN"/>
              </w:rPr>
              <w:t>10000</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sz w:val="24"/>
                <w:szCs w:val="24"/>
                <w:u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36</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教职员工额定编制数</w:t>
            </w:r>
          </w:p>
        </w:tc>
        <w:tc>
          <w:tcPr>
            <w:tcW w:w="1146"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人</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sz w:val="24"/>
                <w:szCs w:val="24"/>
                <w:u w:val="none"/>
                <w:lang w:val="en-US" w:eastAsia="zh-CN"/>
              </w:rPr>
              <w:t>136</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sz w:val="24"/>
                <w:szCs w:val="24"/>
                <w:u w:val="none"/>
                <w:lang w:val="en-US" w:eastAsia="zh-CN"/>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restart"/>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37</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教职员工总数</w:t>
            </w:r>
          </w:p>
        </w:tc>
        <w:tc>
          <w:tcPr>
            <w:tcW w:w="1146"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人</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sz w:val="24"/>
                <w:szCs w:val="24"/>
                <w:u w:val="none"/>
                <w:lang w:val="en-US" w:eastAsia="zh-CN"/>
              </w:rPr>
              <w:t>197</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sz w:val="24"/>
                <w:szCs w:val="24"/>
                <w:u w:val="none"/>
                <w:lang w:val="en-US" w:eastAsia="zh-CN"/>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tcPr>
          <w:p>
            <w:pPr>
              <w:spacing w:line="360" w:lineRule="auto"/>
              <w:jc w:val="center"/>
              <w:rPr>
                <w:rFonts w:hint="default" w:ascii="Times New Roman" w:hAnsi="Times New Roman" w:cs="Times New Roman"/>
                <w:b/>
                <w:bCs/>
                <w:szCs w:val="21"/>
              </w:rPr>
            </w:pPr>
          </w:p>
        </w:tc>
        <w:tc>
          <w:tcPr>
            <w:tcW w:w="3600" w:type="dxa"/>
          </w:tcPr>
          <w:p>
            <w:pPr>
              <w:spacing w:line="360" w:lineRule="auto"/>
              <w:ind w:firstLine="630" w:firstLineChars="300"/>
              <w:jc w:val="left"/>
              <w:rPr>
                <w:rFonts w:hint="default" w:ascii="Times New Roman" w:hAnsi="Times New Roman" w:cs="Times New Roman"/>
                <w:szCs w:val="21"/>
              </w:rPr>
            </w:pPr>
            <w:r>
              <w:rPr>
                <w:rFonts w:hint="default" w:ascii="Times New Roman" w:hAnsi="Times New Roman" w:cs="Times New Roman"/>
                <w:szCs w:val="21"/>
              </w:rPr>
              <w:t>其中：专任教师总数</w:t>
            </w:r>
          </w:p>
        </w:tc>
        <w:tc>
          <w:tcPr>
            <w:tcW w:w="1146"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人</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sz w:val="24"/>
                <w:szCs w:val="24"/>
                <w:u w:val="none"/>
                <w:lang w:val="en-US" w:eastAsia="zh-CN"/>
              </w:rPr>
              <w:t>87</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sz w:val="24"/>
                <w:szCs w:val="24"/>
                <w:u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38</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生师比</w:t>
            </w:r>
          </w:p>
        </w:tc>
        <w:tc>
          <w:tcPr>
            <w:tcW w:w="1146"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kern w:val="2"/>
                <w:sz w:val="24"/>
                <w:szCs w:val="24"/>
                <w:u w:val="none"/>
                <w:lang w:val="en-US" w:eastAsia="zh-CN" w:bidi="ar-SA"/>
              </w:rPr>
              <w:t>10.43</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kern w:val="2"/>
                <w:sz w:val="24"/>
                <w:szCs w:val="24"/>
                <w:u w:val="none"/>
                <w:lang w:val="en-US" w:eastAsia="zh-CN" w:bidi="ar-SA"/>
              </w:rPr>
              <w:t>11.14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39</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“双师”素质专任专业教师总数</w:t>
            </w:r>
          </w:p>
        </w:tc>
        <w:tc>
          <w:tcPr>
            <w:tcW w:w="1146"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人</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sz w:val="24"/>
                <w:szCs w:val="24"/>
                <w:u w:val="none"/>
                <w:lang w:val="en-US" w:eastAsia="zh-CN"/>
              </w:rPr>
              <w:t>46</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sz w:val="24"/>
                <w:szCs w:val="24"/>
                <w:u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40</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合作企业教师实践基地数</w:t>
            </w:r>
          </w:p>
        </w:tc>
        <w:tc>
          <w:tcPr>
            <w:tcW w:w="1146"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个</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kern w:val="2"/>
                <w:sz w:val="24"/>
                <w:szCs w:val="24"/>
                <w:u w:val="none"/>
                <w:lang w:val="en-US" w:eastAsia="zh-CN" w:bidi="ar-SA"/>
              </w:rPr>
              <w:t>0</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kern w:val="2"/>
                <w:sz w:val="24"/>
                <w:szCs w:val="24"/>
                <w:u w:val="no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41</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高级专业技术职务专任教师占比</w:t>
            </w:r>
          </w:p>
        </w:tc>
        <w:tc>
          <w:tcPr>
            <w:tcW w:w="1146"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sz w:val="24"/>
                <w:szCs w:val="24"/>
                <w:u w:val="none"/>
                <w:lang w:val="en-US" w:eastAsia="zh-CN"/>
              </w:rPr>
              <w:t>29.89%</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sz w:val="24"/>
                <w:szCs w:val="24"/>
                <w:u w:val="none"/>
                <w:lang w:val="en-US" w:eastAsia="zh-CN"/>
              </w:rPr>
              <w:t>28.24%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42</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硕士研究生及以上学历教师占比</w:t>
            </w:r>
          </w:p>
        </w:tc>
        <w:tc>
          <w:tcPr>
            <w:tcW w:w="1146"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w:t>
            </w:r>
          </w:p>
        </w:tc>
        <w:tc>
          <w:tcPr>
            <w:tcW w:w="1712"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sz w:val="24"/>
                <w:szCs w:val="24"/>
                <w:u w:val="none"/>
                <w:lang w:val="en-US" w:eastAsia="zh-CN"/>
              </w:rPr>
              <w:t>10.35%</w:t>
            </w:r>
          </w:p>
        </w:tc>
        <w:tc>
          <w:tcPr>
            <w:tcW w:w="1581" w:type="dxa"/>
            <w:vAlign w:val="center"/>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sz w:val="24"/>
                <w:szCs w:val="24"/>
                <w:u w:val="none"/>
                <w:lang w:val="en-US" w:eastAsia="zh-CN"/>
              </w:rPr>
              <w:t>10.58%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43</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企业提供的实践教学设备总值</w:t>
            </w:r>
          </w:p>
        </w:tc>
        <w:tc>
          <w:tcPr>
            <w:tcW w:w="1146"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万元</w:t>
            </w:r>
          </w:p>
        </w:tc>
        <w:tc>
          <w:tcPr>
            <w:tcW w:w="1712" w:type="dxa"/>
            <w:vAlign w:val="top"/>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sz w:val="24"/>
                <w:szCs w:val="24"/>
                <w:u w:val="none"/>
                <w:lang w:val="en-US" w:eastAsia="zh-CN"/>
              </w:rPr>
              <w:t>0</w:t>
            </w:r>
          </w:p>
        </w:tc>
        <w:tc>
          <w:tcPr>
            <w:tcW w:w="1581" w:type="dxa"/>
            <w:vAlign w:val="top"/>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sz w:val="24"/>
                <w:szCs w:val="24"/>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44</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合作企业接受学生实习比例</w:t>
            </w:r>
          </w:p>
        </w:tc>
        <w:tc>
          <w:tcPr>
            <w:tcW w:w="1146"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w:t>
            </w:r>
          </w:p>
        </w:tc>
        <w:tc>
          <w:tcPr>
            <w:tcW w:w="1712" w:type="dxa"/>
            <w:vAlign w:val="top"/>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sz w:val="24"/>
                <w:szCs w:val="24"/>
                <w:u w:val="none"/>
                <w:lang w:val="en-US" w:eastAsia="zh-CN"/>
              </w:rPr>
              <w:t>0</w:t>
            </w:r>
          </w:p>
        </w:tc>
        <w:tc>
          <w:tcPr>
            <w:tcW w:w="1581" w:type="dxa"/>
            <w:vAlign w:val="top"/>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sz w:val="24"/>
                <w:szCs w:val="24"/>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restart"/>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45</w:t>
            </w:r>
          </w:p>
        </w:tc>
        <w:tc>
          <w:tcPr>
            <w:tcW w:w="3600" w:type="dxa"/>
          </w:tcPr>
          <w:p>
            <w:pPr>
              <w:spacing w:line="360" w:lineRule="auto"/>
              <w:jc w:val="left"/>
              <w:rPr>
                <w:rFonts w:hint="default" w:ascii="Times New Roman" w:hAnsi="Times New Roman" w:cs="Times New Roman"/>
                <w:szCs w:val="21"/>
              </w:rPr>
            </w:pPr>
            <w:r>
              <w:rPr>
                <w:rFonts w:hint="default" w:ascii="Times New Roman" w:hAnsi="Times New Roman" w:cs="Times New Roman"/>
                <w:szCs w:val="21"/>
              </w:rPr>
              <w:t>生均企业实习经费补贴</w:t>
            </w:r>
          </w:p>
        </w:tc>
        <w:tc>
          <w:tcPr>
            <w:tcW w:w="1146"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元</w:t>
            </w:r>
          </w:p>
        </w:tc>
        <w:tc>
          <w:tcPr>
            <w:tcW w:w="1712" w:type="dxa"/>
            <w:vAlign w:val="top"/>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sz w:val="24"/>
                <w:szCs w:val="24"/>
                <w:u w:val="none"/>
                <w:lang w:val="en-US" w:eastAsia="zh-CN"/>
              </w:rPr>
              <w:t>70</w:t>
            </w:r>
          </w:p>
        </w:tc>
        <w:tc>
          <w:tcPr>
            <w:tcW w:w="1581" w:type="dxa"/>
            <w:vAlign w:val="top"/>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sz w:val="24"/>
                <w:szCs w:val="24"/>
                <w:u w:val="none"/>
                <w:lang w:val="en-US" w:eastAsia="zh-CN"/>
              </w:rPr>
              <w:t>308.1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1" w:type="dxa"/>
            <w:vMerge w:val="continue"/>
          </w:tcPr>
          <w:p>
            <w:pPr>
              <w:spacing w:line="360" w:lineRule="auto"/>
              <w:jc w:val="center"/>
              <w:rPr>
                <w:rFonts w:hint="default" w:ascii="Times New Roman" w:hAnsi="Times New Roman" w:cs="Times New Roman"/>
                <w:b/>
                <w:bCs/>
                <w:szCs w:val="21"/>
              </w:rPr>
            </w:pPr>
          </w:p>
        </w:tc>
        <w:tc>
          <w:tcPr>
            <w:tcW w:w="3600" w:type="dxa"/>
          </w:tcPr>
          <w:p>
            <w:pPr>
              <w:spacing w:line="360" w:lineRule="auto"/>
              <w:ind w:firstLine="630" w:firstLineChars="300"/>
              <w:jc w:val="left"/>
              <w:rPr>
                <w:rFonts w:hint="default" w:ascii="Times New Roman" w:hAnsi="Times New Roman" w:cs="Times New Roman"/>
                <w:szCs w:val="21"/>
              </w:rPr>
            </w:pPr>
            <w:r>
              <w:rPr>
                <w:rFonts w:hint="default" w:ascii="Times New Roman" w:hAnsi="Times New Roman" w:cs="Times New Roman"/>
                <w:szCs w:val="21"/>
              </w:rPr>
              <w:t>其中：生均财政专项补贴</w:t>
            </w:r>
          </w:p>
        </w:tc>
        <w:tc>
          <w:tcPr>
            <w:tcW w:w="1146" w:type="dxa"/>
          </w:tcPr>
          <w:p>
            <w:pPr>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元</w:t>
            </w:r>
          </w:p>
        </w:tc>
        <w:tc>
          <w:tcPr>
            <w:tcW w:w="1712" w:type="dxa"/>
            <w:vAlign w:val="top"/>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sz w:val="24"/>
                <w:szCs w:val="24"/>
                <w:u w:val="none"/>
                <w:lang w:val="en-US" w:eastAsia="zh-CN"/>
              </w:rPr>
              <w:t>0</w:t>
            </w:r>
          </w:p>
        </w:tc>
        <w:tc>
          <w:tcPr>
            <w:tcW w:w="1581" w:type="dxa"/>
            <w:vAlign w:val="top"/>
          </w:tcPr>
          <w:p>
            <w:pPr>
              <w:keepNext w:val="0"/>
              <w:keepLines w:val="0"/>
              <w:pageBreakBefore w:val="0"/>
              <w:kinsoku/>
              <w:wordWrap/>
              <w:overflowPunct/>
              <w:topLinePunct w:val="0"/>
              <w:autoSpaceDE/>
              <w:autoSpaceDN/>
              <w:bidi w:val="0"/>
              <w:spacing w:line="288" w:lineRule="auto"/>
              <w:jc w:val="left"/>
              <w:rPr>
                <w:rFonts w:hint="default" w:ascii="Times New Roman" w:hAnsi="Times New Roman" w:cs="Times New Roman"/>
                <w:b/>
                <w:bCs/>
                <w:szCs w:val="21"/>
              </w:rPr>
            </w:pPr>
            <w:r>
              <w:rPr>
                <w:rFonts w:hint="default" w:ascii="Times New Roman" w:hAnsi="Times New Roman" w:eastAsia="仿宋_GB2312" w:cs="Times New Roman"/>
                <w:i w:val="0"/>
                <w:iCs w:val="0"/>
                <w:color w:val="auto"/>
                <w:sz w:val="24"/>
                <w:szCs w:val="24"/>
                <w:u w:val="none"/>
                <w:lang w:val="en-US" w:eastAsia="zh-CN"/>
              </w:rPr>
              <w:t>0</w:t>
            </w:r>
          </w:p>
        </w:tc>
      </w:tr>
    </w:tbl>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811AAE6-40B9-4FA0-80F3-328C658008D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2" w:fontKey="{8CA3CA61-56A2-4392-91FB-BA6DC40EFDDF}"/>
  </w:font>
  <w:font w:name="仿宋_GB2312">
    <w:altName w:val="仿宋"/>
    <w:panose1 w:val="02010609030101010101"/>
    <w:charset w:val="86"/>
    <w:family w:val="modern"/>
    <w:pitch w:val="default"/>
    <w:sig w:usb0="00000000" w:usb1="00000000" w:usb2="00000010" w:usb3="00000000" w:csb0="00040000" w:csb1="00000000"/>
    <w:embedRegular r:id="rId3" w:fontKey="{5577FF2E-5265-4C95-93D2-96EEC13717C2}"/>
  </w:font>
  <w:font w:name="仿宋">
    <w:panose1 w:val="02010609060101010101"/>
    <w:charset w:val="86"/>
    <w:family w:val="auto"/>
    <w:pitch w:val="default"/>
    <w:sig w:usb0="800002BF" w:usb1="38CF7CFA" w:usb2="00000016" w:usb3="00000000" w:csb0="00040001" w:csb1="00000000"/>
    <w:embedRegular r:id="rId4" w:fontKey="{C943B288-74E8-4058-90C4-267A7D7A8CE0}"/>
  </w:font>
  <w:font w:name="新宋体">
    <w:panose1 w:val="02010609030101010101"/>
    <w:charset w:val="86"/>
    <w:family w:val="modern"/>
    <w:pitch w:val="default"/>
    <w:sig w:usb0="00000283" w:usb1="288F0000" w:usb2="00000006" w:usb3="00000000" w:csb0="00040001" w:csb1="00000000"/>
    <w:embedRegular r:id="rId5" w:fontKey="{B52A49D8-7BC4-4684-BCB0-81029CA06C80}"/>
  </w:font>
  <w:font w:name="等线">
    <w:panose1 w:val="02010600030101010101"/>
    <w:charset w:val="86"/>
    <w:family w:val="auto"/>
    <w:pitch w:val="default"/>
    <w:sig w:usb0="A00002BF" w:usb1="38CF7CFA" w:usb2="00000016" w:usb3="00000000" w:csb0="0004000F" w:csb1="00000000"/>
    <w:embedRegular r:id="rId6" w:fontKey="{6F5D6811-ADCC-4488-8A4F-B05A1B179BE6}"/>
  </w:font>
  <w:font w:name="仿宋_GB2312">
    <w:altName w:val="仿宋"/>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embedRegular r:id="rId7" w:fontKey="{AC177F7C-3A08-4C5B-B9C1-1FDD331C8340}"/>
  </w:font>
  <w:font w:name="微软雅黑">
    <w:panose1 w:val="020B0503020204020204"/>
    <w:charset w:val="86"/>
    <w:family w:val="auto"/>
    <w:pitch w:val="default"/>
    <w:sig w:usb0="80000287" w:usb1="2ACF3C50" w:usb2="00000016" w:usb3="00000000" w:csb0="0004001F"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方正大黑体_GBK">
    <w:panose1 w:val="02010600010101010101"/>
    <w:charset w:val="86"/>
    <w:family w:val="auto"/>
    <w:pitch w:val="default"/>
    <w:sig w:usb0="00000001" w:usb1="080E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 w:name="Bahnschrift Condensed">
    <w:panose1 w:val="020B0502040204020203"/>
    <w:charset w:val="00"/>
    <w:family w:val="auto"/>
    <w:pitch w:val="default"/>
    <w:sig w:usb0="A00002C7" w:usb1="00000002" w:usb2="00000000" w:usb3="00000000" w:csb0="2000019F" w:csb1="00000000"/>
  </w:font>
  <w:font w:name="Calibri Light">
    <w:panose1 w:val="020F0302020204030204"/>
    <w:charset w:val="00"/>
    <w:family w:val="auto"/>
    <w:pitch w:val="default"/>
    <w:sig w:usb0="E4002E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Franklin Gothic Medium">
    <w:panose1 w:val="020B0603020102020204"/>
    <w:charset w:val="00"/>
    <w:family w:val="auto"/>
    <w:pitch w:val="default"/>
    <w:sig w:usb0="00000287" w:usb1="00000000" w:usb2="00000000" w:usb3="00000000" w:csb0="2000009F" w:csb1="DFD70000"/>
  </w:font>
  <w:font w:name="HoloLens MDL2 Assets">
    <w:panose1 w:val="050A0102010101010101"/>
    <w:charset w:val="00"/>
    <w:family w:val="auto"/>
    <w:pitch w:val="default"/>
    <w:sig w:usb0="00000000" w:usb1="1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Lucida Console">
    <w:panose1 w:val="020B0609040504020204"/>
    <w:charset w:val="00"/>
    <w:family w:val="auto"/>
    <w:pitch w:val="default"/>
    <w:sig w:usb0="8000028F" w:usb1="00001800" w:usb2="00000000" w:usb3="00000000" w:csb0="0000001F" w:csb1="D7D70000"/>
  </w:font>
  <w:font w:name="Microsoft Tai Le">
    <w:panose1 w:val="020B0502040204020203"/>
    <w:charset w:val="00"/>
    <w:family w:val="auto"/>
    <w:pitch w:val="default"/>
    <w:sig w:usb0="00000003" w:usb1="00000000" w:usb2="40000000" w:usb3="00000000" w:csb0="00000001" w:csb1="00000000"/>
  </w:font>
  <w:font w:name="Microsoft Yi Baiti">
    <w:panose1 w:val="03000500000000000000"/>
    <w:charset w:val="00"/>
    <w:family w:val="auto"/>
    <w:pitch w:val="default"/>
    <w:sig w:usb0="80000003" w:usb1="00010402" w:usb2="00080002" w:usb3="00000000" w:csb0="00000001" w:csb1="00000000"/>
  </w:font>
  <w:font w:name="MT Extra">
    <w:panose1 w:val="05050102010205020202"/>
    <w:charset w:val="00"/>
    <w:family w:val="auto"/>
    <w:pitch w:val="default"/>
    <w:sig w:usb0="80000000" w:usb1="00000000" w:usb2="00000000" w:usb3="00000000" w:csb0="00000000" w:csb1="00000000"/>
  </w:font>
  <w:font w:name="Nirmala UI Semilight">
    <w:panose1 w:val="020B0402040204020203"/>
    <w:charset w:val="00"/>
    <w:family w:val="auto"/>
    <w:pitch w:val="default"/>
    <w:sig w:usb0="80FF8023" w:usb1="0200004A" w:usb2="00000200" w:usb3="00040000" w:csb0="00000001" w:csb1="00000000"/>
  </w:font>
  <w:font w:name="Palatino Linotype">
    <w:panose1 w:val="02040502050505030304"/>
    <w:charset w:val="00"/>
    <w:family w:val="auto"/>
    <w:pitch w:val="default"/>
    <w:sig w:usb0="E0000287" w:usb1="40000013" w:usb2="00000000" w:usb3="00000000" w:csb0="2000019F" w:csb1="00000000"/>
  </w:font>
  <w:font w:name="Segoe UI Emoji">
    <w:panose1 w:val="020B0502040204020203"/>
    <w:charset w:val="00"/>
    <w:family w:val="auto"/>
    <w:pitch w:val="default"/>
    <w:sig w:usb0="00000001" w:usb1="02000000" w:usb2="00000000" w:usb3="00000000" w:csb0="00000001" w:csb1="00000000"/>
    <w:embedRegular r:id="rId8" w:fontKey="{EA268C60-41F5-4C7F-B1ED-879BDEEDC082}"/>
  </w:font>
  <w:font w:name="SimSun-ExtB">
    <w:panose1 w:val="02010609060101010101"/>
    <w:charset w:val="86"/>
    <w:family w:val="auto"/>
    <w:pitch w:val="default"/>
    <w:sig w:usb0="00000001" w:usb1="02000000" w:usb2="00000000" w:usb3="00000000" w:csb0="00040001" w:csb1="00000000"/>
  </w:font>
  <w:font w:name="Sitka Subheading">
    <w:panose1 w:val="02000505000000020004"/>
    <w:charset w:val="00"/>
    <w:family w:val="auto"/>
    <w:pitch w:val="default"/>
    <w:sig w:usb0="A00002EF" w:usb1="4000204B" w:usb2="00000000" w:usb3="00000000" w:csb0="2000019F" w:csb1="00000000"/>
  </w:font>
  <w:font w:name="Sitka Text">
    <w:panose1 w:val="02000505000000020004"/>
    <w:charset w:val="00"/>
    <w:family w:val="auto"/>
    <w:pitch w:val="default"/>
    <w:sig w:usb0="A00002EF" w:usb1="4000204B" w:usb2="00000000" w:usb3="00000000" w:csb0="2000019F" w:csb1="00000000"/>
  </w:font>
  <w:font w:name="Sylfaen">
    <w:panose1 w:val="010A0502050306030303"/>
    <w:charset w:val="00"/>
    <w:family w:val="auto"/>
    <w:pitch w:val="default"/>
    <w:sig w:usb0="04000687" w:usb1="00000000"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270010"/>
    <w:multiLevelType w:val="singleLevel"/>
    <w:tmpl w:val="11270010"/>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0D0C4E"/>
    <w:rsid w:val="00237FAB"/>
    <w:rsid w:val="0024008D"/>
    <w:rsid w:val="00980A80"/>
    <w:rsid w:val="00A12D34"/>
    <w:rsid w:val="00BE0DAC"/>
    <w:rsid w:val="00EE3860"/>
    <w:rsid w:val="01B13F71"/>
    <w:rsid w:val="03DE3CAC"/>
    <w:rsid w:val="09231284"/>
    <w:rsid w:val="0A802DCE"/>
    <w:rsid w:val="105903EC"/>
    <w:rsid w:val="19D5109D"/>
    <w:rsid w:val="1B776A68"/>
    <w:rsid w:val="1F83778A"/>
    <w:rsid w:val="224B4284"/>
    <w:rsid w:val="2A0B1C91"/>
    <w:rsid w:val="2AF233B3"/>
    <w:rsid w:val="2DF81792"/>
    <w:rsid w:val="30281532"/>
    <w:rsid w:val="304E25DE"/>
    <w:rsid w:val="30AA7A41"/>
    <w:rsid w:val="315131F2"/>
    <w:rsid w:val="39562380"/>
    <w:rsid w:val="3D8B0238"/>
    <w:rsid w:val="3E534E99"/>
    <w:rsid w:val="4F5537FD"/>
    <w:rsid w:val="5605325D"/>
    <w:rsid w:val="567F2B50"/>
    <w:rsid w:val="574678C9"/>
    <w:rsid w:val="580B4D33"/>
    <w:rsid w:val="5F7C4F0E"/>
    <w:rsid w:val="5FD35E1F"/>
    <w:rsid w:val="61B83055"/>
    <w:rsid w:val="650143D2"/>
    <w:rsid w:val="6D54763D"/>
    <w:rsid w:val="700D0C4E"/>
    <w:rsid w:val="76C52D80"/>
    <w:rsid w:val="7BCE14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unhideWhenUsed/>
    <w:qFormat/>
    <w:uiPriority w:val="99"/>
    <w:pPr>
      <w:autoSpaceDE w:val="0"/>
      <w:autoSpaceDN w:val="0"/>
      <w:spacing w:before="100" w:beforeAutospacing="1" w:after="100" w:afterAutospacing="1"/>
      <w:ind w:left="119"/>
      <w:jc w:val="left"/>
    </w:pPr>
    <w:rPr>
      <w:rFonts w:ascii="宋体" w:hAnsi="宋体" w:cs="宋体"/>
      <w:kern w:val="0"/>
      <w:sz w:val="32"/>
      <w:szCs w:val="32"/>
    </w:rPr>
  </w:style>
  <w:style w:type="paragraph" w:styleId="3">
    <w:name w:val="footer"/>
    <w:basedOn w:val="1"/>
    <w:link w:val="11"/>
    <w:uiPriority w:val="0"/>
    <w:pPr>
      <w:tabs>
        <w:tab w:val="center" w:pos="4153"/>
        <w:tab w:val="right" w:pos="8306"/>
      </w:tabs>
      <w:snapToGrid w:val="0"/>
      <w:jc w:val="left"/>
    </w:pPr>
    <w:rPr>
      <w:sz w:val="18"/>
      <w:szCs w:val="18"/>
    </w:rPr>
  </w:style>
  <w:style w:type="paragraph" w:styleId="4">
    <w:name w:val="header"/>
    <w:basedOn w:val="1"/>
    <w:link w:val="10"/>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ascii="Calibri" w:hAnsi="Calibri"/>
      <w:kern w:val="0"/>
      <w:sz w:val="24"/>
      <w:szCs w:val="24"/>
    </w:rPr>
  </w:style>
  <w:style w:type="table" w:styleId="7">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9">
    <w:name w:val="Strong"/>
    <w:qFormat/>
    <w:uiPriority w:val="0"/>
    <w:rPr>
      <w:b/>
    </w:rPr>
  </w:style>
  <w:style w:type="character" w:customStyle="1" w:styleId="10">
    <w:name w:val="页眉 Char"/>
    <w:basedOn w:val="8"/>
    <w:link w:val="4"/>
    <w:uiPriority w:val="0"/>
    <w:rPr>
      <w:rFonts w:ascii="Times New Roman" w:hAnsi="Times New Roman" w:eastAsia="宋体" w:cs="Times New Roman"/>
      <w:kern w:val="2"/>
      <w:sz w:val="18"/>
      <w:szCs w:val="18"/>
    </w:rPr>
  </w:style>
  <w:style w:type="character" w:customStyle="1" w:styleId="11">
    <w:name w:val="页脚 Char"/>
    <w:basedOn w:val="8"/>
    <w:link w:val="3"/>
    <w:uiPriority w:val="0"/>
    <w:rPr>
      <w:rFonts w:ascii="Times New Roman" w:hAnsi="Times New Roman" w:eastAsia="宋体" w:cs="Times New Roman"/>
      <w:kern w:val="2"/>
      <w:sz w:val="18"/>
      <w:szCs w:val="18"/>
    </w:rPr>
  </w:style>
  <w:style w:type="character" w:customStyle="1" w:styleId="12">
    <w:name w:val="font21"/>
    <w:basedOn w:val="8"/>
    <w:uiPriority w:val="0"/>
    <w:rPr>
      <w:rFonts w:hint="default" w:ascii="Times New Roman" w:hAnsi="Times New Roman" w:cs="Times New Roman"/>
      <w:b/>
      <w:bCs/>
      <w:color w:val="000000"/>
      <w:sz w:val="21"/>
      <w:szCs w:val="21"/>
      <w:u w:val="none"/>
    </w:rPr>
  </w:style>
  <w:style w:type="character" w:customStyle="1" w:styleId="13">
    <w:name w:val="font11"/>
    <w:basedOn w:val="8"/>
    <w:uiPriority w:val="0"/>
    <w:rPr>
      <w:rFonts w:hint="eastAsia" w:ascii="宋体" w:hAnsi="宋体" w:eastAsia="宋体" w:cs="宋体"/>
      <w:b/>
      <w:bCs/>
      <w:color w:val="000000"/>
      <w:sz w:val="21"/>
      <w:szCs w:val="21"/>
      <w:u w:val="none"/>
    </w:rPr>
  </w:style>
  <w:style w:type="paragraph" w:customStyle="1" w:styleId="14">
    <w:name w:val="内容"/>
    <w:basedOn w:val="1"/>
    <w:qFormat/>
    <w:uiPriority w:val="99"/>
    <w:pPr>
      <w:ind w:firstLine="200" w:firstLineChars="200"/>
    </w:pPr>
    <w:rPr>
      <w:rFonts w:ascii="宋体" w:hAnsi="宋体" w:cs="宋体"/>
      <w:sz w:val="28"/>
      <w:szCs w:val="28"/>
    </w:rPr>
  </w:style>
  <w:style w:type="character" w:customStyle="1" w:styleId="15">
    <w:name w:val="font31"/>
    <w:basedOn w:val="8"/>
    <w:uiPriority w:val="0"/>
    <w:rPr>
      <w:rFonts w:hint="eastAsia" w:ascii="宋体" w:hAnsi="宋体" w:eastAsia="宋体" w:cs="宋体"/>
      <w:b/>
      <w:bCs/>
      <w:color w:val="000000"/>
      <w:sz w:val="21"/>
      <w:szCs w:val="21"/>
      <w:u w:val="none"/>
    </w:rPr>
  </w:style>
  <w:style w:type="character" w:customStyle="1" w:styleId="16">
    <w:name w:val="font01"/>
    <w:basedOn w:val="8"/>
    <w:uiPriority w:val="0"/>
    <w:rPr>
      <w:rFonts w:hint="default" w:ascii="Times New Roman" w:hAnsi="Times New Roman" w:cs="Times New Roman"/>
      <w:b/>
      <w:bCs/>
      <w:color w:val="000000"/>
      <w:sz w:val="21"/>
      <w:szCs w:val="21"/>
      <w:u w:val="none"/>
    </w:rPr>
  </w:style>
  <w:style w:type="character" w:customStyle="1" w:styleId="17">
    <w:name w:val="font41"/>
    <w:basedOn w:val="8"/>
    <w:uiPriority w:val="0"/>
    <w:rPr>
      <w:rFonts w:hint="eastAsia" w:ascii="宋体" w:hAnsi="宋体" w:eastAsia="宋体" w:cs="宋体"/>
      <w:b/>
      <w:bCs/>
      <w:color w:val="000000"/>
      <w:sz w:val="21"/>
      <w:szCs w:val="21"/>
      <w:u w:val="none"/>
    </w:rPr>
  </w:style>
  <w:style w:type="character" w:customStyle="1" w:styleId="18">
    <w:name w:val="font51"/>
    <w:basedOn w:val="8"/>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437</Words>
  <Characters>2496</Characters>
  <Lines>20</Lines>
  <Paragraphs>5</Paragraphs>
  <TotalTime>2</TotalTime>
  <ScaleCrop>false</ScaleCrop>
  <LinksUpToDate>false</LinksUpToDate>
  <CharactersWithSpaces>2928</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2021-10-09T02:52:00Z</dcterms:created>
  <dc:creator>lenovo</dc:creator>
  <cp:lastModifiedBy>小鬼鬼</cp:lastModifiedBy>
  <dcterms:modified xsi:type="dcterms:W3CDTF">2021-11-25T13:02:09Z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8A5FCCC4171B4BC89FB43AA84384746F</vt:lpwstr>
  </property>
</Properties>
</file>